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Ind w:w="-261" w:type="dxa"/>
        <w:tblBorders>
          <w:bottom w:val="single" w:sz="4" w:space="0" w:color="auto"/>
        </w:tblBorders>
        <w:tblLayout w:type="fixed"/>
        <w:tblCellMar>
          <w:left w:w="99" w:type="dxa"/>
          <w:right w:w="99" w:type="dxa"/>
        </w:tblCellMar>
        <w:tblLook w:val="0000" w:firstRow="0" w:lastRow="0" w:firstColumn="0" w:lastColumn="0" w:noHBand="0" w:noVBand="0"/>
      </w:tblPr>
      <w:tblGrid>
        <w:gridCol w:w="1530"/>
        <w:gridCol w:w="4660"/>
        <w:gridCol w:w="1550"/>
        <w:gridCol w:w="111"/>
        <w:gridCol w:w="2229"/>
      </w:tblGrid>
      <w:tr w:rsidR="00DA7595" w:rsidRPr="00932562" w:rsidTr="00FE179D">
        <w:trPr>
          <w:cantSplit/>
        </w:trPr>
        <w:tc>
          <w:tcPr>
            <w:tcW w:w="1530" w:type="dxa"/>
            <w:vMerge w:val="restart"/>
            <w:tcBorders>
              <w:top w:val="nil"/>
              <w:left w:val="nil"/>
              <w:bottom w:val="nil"/>
              <w:right w:val="nil"/>
            </w:tcBorders>
          </w:tcPr>
          <w:p w:rsidR="00DA7595" w:rsidRPr="00932562" w:rsidRDefault="00FB764E" w:rsidP="00927200">
            <w:pPr>
              <w:pStyle w:val="Note"/>
              <w:widowControl w:val="0"/>
              <w:tabs>
                <w:tab w:val="clear" w:pos="284"/>
                <w:tab w:val="clear" w:pos="1134"/>
                <w:tab w:val="clear" w:pos="1871"/>
                <w:tab w:val="clear" w:pos="2268"/>
              </w:tabs>
              <w:spacing w:before="0" w:after="120"/>
              <w:rPr>
                <w:noProof w:val="0"/>
                <w:kern w:val="2"/>
                <w:sz w:val="24"/>
                <w:szCs w:val="24"/>
                <w:lang w:val="en-GB"/>
              </w:rPr>
            </w:pPr>
            <w:r w:rsidRPr="00932562">
              <w:rPr>
                <w:kern w:val="2"/>
                <w:sz w:val="24"/>
                <w:szCs w:val="24"/>
                <w:lang w:eastAsia="en-US"/>
              </w:rPr>
              <w:drawing>
                <wp:inline distT="0" distB="0" distL="0" distR="0" wp14:anchorId="4B81A6A1" wp14:editId="47E25E5B">
                  <wp:extent cx="762000" cy="666750"/>
                  <wp:effectExtent l="0" t="0" r="0" b="0"/>
                  <wp:docPr id="2" name="Picture 2" descr="small APT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APTlogo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4660" w:type="dxa"/>
            <w:tcBorders>
              <w:top w:val="nil"/>
              <w:left w:val="nil"/>
              <w:bottom w:val="nil"/>
              <w:right w:val="nil"/>
            </w:tcBorders>
          </w:tcPr>
          <w:p w:rsidR="00DA7595" w:rsidRPr="00932562" w:rsidRDefault="00DA7595" w:rsidP="001F20BF">
            <w:pPr>
              <w:rPr>
                <w:sz w:val="22"/>
                <w:szCs w:val="22"/>
                <w:lang w:val="en-GB"/>
              </w:rPr>
            </w:pPr>
            <w:r w:rsidRPr="00932562">
              <w:rPr>
                <w:sz w:val="22"/>
                <w:szCs w:val="22"/>
                <w:lang w:val="en-GB"/>
              </w:rPr>
              <w:t>ASIA-PACIFIC TELECOMMUNITY</w:t>
            </w:r>
          </w:p>
        </w:tc>
        <w:tc>
          <w:tcPr>
            <w:tcW w:w="1661" w:type="dxa"/>
            <w:gridSpan w:val="2"/>
            <w:tcBorders>
              <w:top w:val="nil"/>
              <w:left w:val="nil"/>
              <w:bottom w:val="nil"/>
              <w:right w:val="nil"/>
            </w:tcBorders>
          </w:tcPr>
          <w:p w:rsidR="00DA7595" w:rsidRPr="00932562" w:rsidRDefault="00DA7595" w:rsidP="001F20BF">
            <w:pPr>
              <w:rPr>
                <w:lang w:val="en-GB"/>
              </w:rPr>
            </w:pPr>
          </w:p>
        </w:tc>
        <w:tc>
          <w:tcPr>
            <w:tcW w:w="2229" w:type="dxa"/>
            <w:tcBorders>
              <w:top w:val="nil"/>
              <w:left w:val="nil"/>
              <w:bottom w:val="nil"/>
            </w:tcBorders>
          </w:tcPr>
          <w:p w:rsidR="00DA7595" w:rsidRPr="00932562" w:rsidRDefault="00DA7595" w:rsidP="001F20BF">
            <w:pPr>
              <w:pStyle w:val="Heading8"/>
              <w:wordWrap/>
              <w:rPr>
                <w:sz w:val="24"/>
                <w:szCs w:val="24"/>
                <w:lang w:val="en-GB"/>
              </w:rPr>
            </w:pPr>
          </w:p>
        </w:tc>
      </w:tr>
      <w:tr w:rsidR="00DA7595" w:rsidRPr="00932562" w:rsidTr="00FE179D">
        <w:trPr>
          <w:cantSplit/>
        </w:trPr>
        <w:tc>
          <w:tcPr>
            <w:tcW w:w="1530" w:type="dxa"/>
            <w:vMerge/>
            <w:tcBorders>
              <w:top w:val="nil"/>
              <w:left w:val="nil"/>
              <w:bottom w:val="nil"/>
              <w:right w:val="nil"/>
            </w:tcBorders>
          </w:tcPr>
          <w:p w:rsidR="00DA7595" w:rsidRPr="00932562" w:rsidRDefault="00DA7595" w:rsidP="00927200">
            <w:pPr>
              <w:spacing w:after="120"/>
              <w:rPr>
                <w:lang w:val="en-GB"/>
              </w:rPr>
            </w:pPr>
          </w:p>
        </w:tc>
        <w:tc>
          <w:tcPr>
            <w:tcW w:w="6210" w:type="dxa"/>
            <w:gridSpan w:val="2"/>
            <w:tcBorders>
              <w:top w:val="nil"/>
              <w:left w:val="nil"/>
              <w:bottom w:val="nil"/>
              <w:right w:val="nil"/>
            </w:tcBorders>
          </w:tcPr>
          <w:p w:rsidR="00DA7595" w:rsidRPr="00932562" w:rsidRDefault="00DA7595" w:rsidP="001F20BF">
            <w:pPr>
              <w:rPr>
                <w:lang w:val="en-GB"/>
              </w:rPr>
            </w:pPr>
            <w:r w:rsidRPr="00932562">
              <w:rPr>
                <w:b/>
                <w:lang w:val="en-GB"/>
              </w:rPr>
              <w:t xml:space="preserve">The </w:t>
            </w:r>
            <w:r w:rsidR="00031DE7" w:rsidRPr="00932562">
              <w:rPr>
                <w:b/>
                <w:lang w:val="en-GB"/>
              </w:rPr>
              <w:t>3</w:t>
            </w:r>
            <w:r w:rsidR="00031DE7" w:rsidRPr="00932562">
              <w:rPr>
                <w:b/>
                <w:vertAlign w:val="superscript"/>
                <w:lang w:val="en-GB"/>
              </w:rPr>
              <w:t>rd</w:t>
            </w:r>
            <w:r w:rsidR="00031DE7" w:rsidRPr="00932562">
              <w:rPr>
                <w:b/>
                <w:lang w:val="en-GB"/>
              </w:rPr>
              <w:t xml:space="preserve"> </w:t>
            </w:r>
            <w:r w:rsidR="00DB0A68" w:rsidRPr="00932562">
              <w:rPr>
                <w:b/>
                <w:lang w:val="en-GB"/>
              </w:rPr>
              <w:t>Meeting of the APT Conference Preparatory</w:t>
            </w:r>
            <w:r w:rsidR="002926D4" w:rsidRPr="00932562">
              <w:rPr>
                <w:b/>
                <w:lang w:val="en-GB"/>
              </w:rPr>
              <w:t xml:space="preserve"> </w:t>
            </w:r>
            <w:r w:rsidR="00F97FC5" w:rsidRPr="00932562">
              <w:rPr>
                <w:b/>
                <w:lang w:val="en-GB"/>
              </w:rPr>
              <w:t xml:space="preserve"> Group for WRC-15</w:t>
            </w:r>
            <w:r w:rsidR="00A462DE" w:rsidRPr="00932562">
              <w:rPr>
                <w:b/>
                <w:lang w:val="en-GB"/>
              </w:rPr>
              <w:t xml:space="preserve"> (APG</w:t>
            </w:r>
            <w:r w:rsidR="00732F08" w:rsidRPr="00932562">
              <w:rPr>
                <w:b/>
                <w:lang w:val="en-GB"/>
              </w:rPr>
              <w:t>1</w:t>
            </w:r>
            <w:r w:rsidR="00F97FC5" w:rsidRPr="00932562">
              <w:rPr>
                <w:b/>
                <w:lang w:val="en-GB"/>
              </w:rPr>
              <w:t>5</w:t>
            </w:r>
            <w:r w:rsidR="00DB0A68" w:rsidRPr="00932562">
              <w:rPr>
                <w:b/>
                <w:lang w:val="en-GB"/>
              </w:rPr>
              <w:t>-</w:t>
            </w:r>
            <w:r w:rsidR="00031DE7" w:rsidRPr="00932562">
              <w:rPr>
                <w:b/>
                <w:lang w:val="en-GB"/>
              </w:rPr>
              <w:t>3</w:t>
            </w:r>
            <w:r w:rsidR="00DB0A68" w:rsidRPr="00932562">
              <w:rPr>
                <w:b/>
                <w:lang w:val="en-GB"/>
              </w:rPr>
              <w:t>)</w:t>
            </w:r>
          </w:p>
        </w:tc>
        <w:tc>
          <w:tcPr>
            <w:tcW w:w="2340" w:type="dxa"/>
            <w:gridSpan w:val="2"/>
            <w:tcBorders>
              <w:top w:val="nil"/>
              <w:left w:val="nil"/>
              <w:bottom w:val="nil"/>
              <w:right w:val="nil"/>
            </w:tcBorders>
          </w:tcPr>
          <w:p w:rsidR="00DA7595" w:rsidRPr="00932562" w:rsidRDefault="00DA7595" w:rsidP="001F20BF">
            <w:pPr>
              <w:rPr>
                <w:b/>
                <w:bCs/>
                <w:lang w:val="en-GB"/>
              </w:rPr>
            </w:pPr>
            <w:r w:rsidRPr="00932562">
              <w:rPr>
                <w:b/>
                <w:lang w:val="en-GB"/>
              </w:rPr>
              <w:t>Document</w:t>
            </w:r>
          </w:p>
          <w:p w:rsidR="00DA7595" w:rsidRPr="00932562" w:rsidRDefault="00A462DE" w:rsidP="001F20BF">
            <w:pPr>
              <w:rPr>
                <w:b/>
                <w:bCs/>
                <w:lang w:val="en-GB"/>
              </w:rPr>
            </w:pPr>
            <w:r w:rsidRPr="00932562">
              <w:rPr>
                <w:b/>
                <w:bCs/>
                <w:lang w:val="en-GB"/>
              </w:rPr>
              <w:t>APG</w:t>
            </w:r>
            <w:r w:rsidR="008319BF" w:rsidRPr="00932562">
              <w:rPr>
                <w:b/>
                <w:bCs/>
                <w:lang w:val="en-GB"/>
              </w:rPr>
              <w:t>1</w:t>
            </w:r>
            <w:r w:rsidR="00F97FC5" w:rsidRPr="00932562">
              <w:rPr>
                <w:b/>
                <w:bCs/>
                <w:lang w:val="en-GB"/>
              </w:rPr>
              <w:t>5</w:t>
            </w:r>
            <w:r w:rsidR="008319BF" w:rsidRPr="00932562">
              <w:rPr>
                <w:b/>
                <w:bCs/>
                <w:lang w:val="en-GB"/>
              </w:rPr>
              <w:t>-</w:t>
            </w:r>
            <w:r w:rsidR="00031DE7" w:rsidRPr="00932562">
              <w:rPr>
                <w:b/>
                <w:bCs/>
                <w:lang w:val="en-GB"/>
              </w:rPr>
              <w:t>3</w:t>
            </w:r>
            <w:r w:rsidR="008319BF" w:rsidRPr="00932562">
              <w:rPr>
                <w:b/>
                <w:bCs/>
                <w:lang w:val="en-GB"/>
              </w:rPr>
              <w:t>/</w:t>
            </w:r>
            <w:r w:rsidR="001F20BF">
              <w:rPr>
                <w:b/>
                <w:bCs/>
                <w:lang w:val="en-GB"/>
              </w:rPr>
              <w:t>INF</w:t>
            </w:r>
            <w:r w:rsidR="00D1252E" w:rsidRPr="00932562">
              <w:rPr>
                <w:b/>
                <w:bCs/>
                <w:lang w:val="en-GB"/>
              </w:rPr>
              <w:t>-</w:t>
            </w:r>
            <w:r w:rsidR="001F20BF">
              <w:rPr>
                <w:b/>
                <w:bCs/>
                <w:lang w:val="en-GB"/>
              </w:rPr>
              <w:t>03</w:t>
            </w:r>
          </w:p>
        </w:tc>
      </w:tr>
      <w:tr w:rsidR="004B3553" w:rsidRPr="00932562" w:rsidTr="00FE179D">
        <w:trPr>
          <w:cantSplit/>
          <w:trHeight w:val="219"/>
        </w:trPr>
        <w:tc>
          <w:tcPr>
            <w:tcW w:w="1530" w:type="dxa"/>
            <w:vMerge/>
            <w:tcBorders>
              <w:top w:val="nil"/>
              <w:left w:val="nil"/>
              <w:bottom w:val="single" w:sz="12" w:space="0" w:color="auto"/>
              <w:right w:val="nil"/>
            </w:tcBorders>
          </w:tcPr>
          <w:p w:rsidR="004B3553" w:rsidRPr="00932562" w:rsidRDefault="004B3553" w:rsidP="00927200">
            <w:pPr>
              <w:spacing w:after="120"/>
              <w:rPr>
                <w:lang w:val="en-GB"/>
              </w:rPr>
            </w:pPr>
          </w:p>
        </w:tc>
        <w:tc>
          <w:tcPr>
            <w:tcW w:w="6210" w:type="dxa"/>
            <w:gridSpan w:val="2"/>
            <w:tcBorders>
              <w:top w:val="nil"/>
              <w:left w:val="nil"/>
              <w:bottom w:val="single" w:sz="12" w:space="0" w:color="auto"/>
              <w:right w:val="nil"/>
            </w:tcBorders>
          </w:tcPr>
          <w:p w:rsidR="004B3553" w:rsidRPr="00932562" w:rsidRDefault="00FE179D" w:rsidP="001F20BF">
            <w:pPr>
              <w:rPr>
                <w:lang w:val="en-GB"/>
              </w:rPr>
            </w:pPr>
            <w:r w:rsidRPr="00932562">
              <w:rPr>
                <w:lang w:val="en-GB"/>
              </w:rPr>
              <w:t>0</w:t>
            </w:r>
            <w:r w:rsidR="00031DE7" w:rsidRPr="00932562">
              <w:rPr>
                <w:lang w:val="en-GB"/>
              </w:rPr>
              <w:t>9</w:t>
            </w:r>
            <w:r w:rsidR="00291C9E" w:rsidRPr="00932562">
              <w:rPr>
                <w:lang w:val="en-GB"/>
              </w:rPr>
              <w:t xml:space="preserve"> – </w:t>
            </w:r>
            <w:r w:rsidR="00031DE7" w:rsidRPr="00932562">
              <w:rPr>
                <w:lang w:val="en-GB"/>
              </w:rPr>
              <w:t>13</w:t>
            </w:r>
            <w:r w:rsidR="004B3553" w:rsidRPr="00932562">
              <w:rPr>
                <w:lang w:val="en-GB"/>
              </w:rPr>
              <w:t xml:space="preserve"> </w:t>
            </w:r>
            <w:r w:rsidRPr="00932562">
              <w:rPr>
                <w:lang w:val="en-GB"/>
              </w:rPr>
              <w:t>Ju</w:t>
            </w:r>
            <w:r w:rsidR="00031DE7" w:rsidRPr="00932562">
              <w:rPr>
                <w:lang w:val="en-GB"/>
              </w:rPr>
              <w:t>ne</w:t>
            </w:r>
            <w:r w:rsidR="00291C9E" w:rsidRPr="00932562">
              <w:rPr>
                <w:lang w:val="en-GB"/>
              </w:rPr>
              <w:t xml:space="preserve"> 20</w:t>
            </w:r>
            <w:r w:rsidR="00031DE7" w:rsidRPr="00932562">
              <w:rPr>
                <w:lang w:val="en-GB"/>
              </w:rPr>
              <w:t>14</w:t>
            </w:r>
            <w:r w:rsidR="004B3553" w:rsidRPr="00932562">
              <w:rPr>
                <w:lang w:val="en-GB"/>
              </w:rPr>
              <w:t>,</w:t>
            </w:r>
            <w:r w:rsidRPr="00932562">
              <w:rPr>
                <w:lang w:val="en-GB"/>
              </w:rPr>
              <w:t xml:space="preserve"> B</w:t>
            </w:r>
            <w:r w:rsidR="00031DE7" w:rsidRPr="00932562">
              <w:rPr>
                <w:lang w:val="en-GB"/>
              </w:rPr>
              <w:t>risbane</w:t>
            </w:r>
            <w:r w:rsidR="004B3553" w:rsidRPr="00932562">
              <w:rPr>
                <w:lang w:val="en-GB"/>
              </w:rPr>
              <w:t>,</w:t>
            </w:r>
            <w:r w:rsidR="00F97FC5" w:rsidRPr="00932562">
              <w:rPr>
                <w:lang w:val="en-GB"/>
              </w:rPr>
              <w:t xml:space="preserve"> </w:t>
            </w:r>
            <w:r w:rsidR="00031DE7" w:rsidRPr="00932562">
              <w:rPr>
                <w:lang w:val="en-GB"/>
              </w:rPr>
              <w:t>Australia</w:t>
            </w:r>
          </w:p>
        </w:tc>
        <w:tc>
          <w:tcPr>
            <w:tcW w:w="2340" w:type="dxa"/>
            <w:gridSpan w:val="2"/>
            <w:tcBorders>
              <w:top w:val="nil"/>
              <w:left w:val="nil"/>
              <w:bottom w:val="single" w:sz="12" w:space="0" w:color="auto"/>
              <w:right w:val="nil"/>
            </w:tcBorders>
          </w:tcPr>
          <w:p w:rsidR="004B3553" w:rsidRPr="00932562" w:rsidRDefault="00625D88" w:rsidP="00625D88">
            <w:pPr>
              <w:rPr>
                <w:b/>
                <w:lang w:val="en-GB"/>
              </w:rPr>
            </w:pPr>
            <w:r>
              <w:rPr>
                <w:b/>
                <w:lang w:val="en-GB"/>
              </w:rPr>
              <w:t>31</w:t>
            </w:r>
            <w:r w:rsidR="00FE179D" w:rsidRPr="00932562">
              <w:rPr>
                <w:b/>
                <w:lang w:val="en-GB"/>
              </w:rPr>
              <w:t xml:space="preserve"> </w:t>
            </w:r>
            <w:r>
              <w:rPr>
                <w:b/>
                <w:lang w:val="en-GB"/>
              </w:rPr>
              <w:t>May</w:t>
            </w:r>
            <w:bookmarkStart w:id="0" w:name="_GoBack"/>
            <w:bookmarkEnd w:id="0"/>
            <w:r w:rsidR="00FE179D" w:rsidRPr="00932562">
              <w:rPr>
                <w:b/>
                <w:lang w:val="en-GB"/>
              </w:rPr>
              <w:t xml:space="preserve"> </w:t>
            </w:r>
            <w:r w:rsidR="00291C9E" w:rsidRPr="00932562">
              <w:rPr>
                <w:b/>
                <w:lang w:val="en-GB"/>
              </w:rPr>
              <w:t>20</w:t>
            </w:r>
            <w:r w:rsidR="008319BF" w:rsidRPr="00932562">
              <w:rPr>
                <w:b/>
                <w:lang w:val="en-GB"/>
              </w:rPr>
              <w:t>1</w:t>
            </w:r>
            <w:r w:rsidR="00031DE7" w:rsidRPr="00932562">
              <w:rPr>
                <w:b/>
                <w:lang w:val="en-GB"/>
              </w:rPr>
              <w:t>4</w:t>
            </w:r>
          </w:p>
        </w:tc>
      </w:tr>
    </w:tbl>
    <w:p w:rsidR="00DA7595" w:rsidRPr="00932562" w:rsidRDefault="00DA7595" w:rsidP="00927200">
      <w:pPr>
        <w:spacing w:after="120"/>
        <w:rPr>
          <w:lang w:val="en-GB" w:eastAsia="ko-KR"/>
        </w:rPr>
      </w:pPr>
    </w:p>
    <w:p w:rsidR="00DA7595" w:rsidRPr="00932562" w:rsidRDefault="002C665F" w:rsidP="00927200">
      <w:pPr>
        <w:spacing w:after="120"/>
        <w:jc w:val="center"/>
        <w:rPr>
          <w:b/>
          <w:sz w:val="28"/>
          <w:szCs w:val="28"/>
          <w:lang w:val="en-GB" w:eastAsia="ko-KR"/>
        </w:rPr>
      </w:pPr>
      <w:r w:rsidRPr="00932562">
        <w:rPr>
          <w:b/>
          <w:sz w:val="28"/>
          <w:szCs w:val="28"/>
          <w:lang w:val="en-GB" w:eastAsia="ko-KR"/>
        </w:rPr>
        <w:t>GSM Association</w:t>
      </w:r>
      <w:r w:rsidR="00F74A4B" w:rsidRPr="00932562">
        <w:rPr>
          <w:b/>
          <w:sz w:val="28"/>
          <w:szCs w:val="28"/>
          <w:lang w:val="en-GB" w:eastAsia="ko-KR"/>
        </w:rPr>
        <w:t xml:space="preserve"> (Hong Kong)</w:t>
      </w:r>
    </w:p>
    <w:p w:rsidR="00FE179D" w:rsidRPr="00932562" w:rsidRDefault="00FE179D" w:rsidP="00927200">
      <w:pPr>
        <w:spacing w:after="120"/>
        <w:jc w:val="center"/>
        <w:rPr>
          <w:b/>
          <w:bCs/>
          <w:caps/>
          <w:sz w:val="28"/>
          <w:szCs w:val="28"/>
          <w:lang w:val="en-GB"/>
        </w:rPr>
      </w:pPr>
    </w:p>
    <w:p w:rsidR="00DB0A68" w:rsidRPr="00932562" w:rsidRDefault="00113A32" w:rsidP="00927200">
      <w:pPr>
        <w:spacing w:after="120"/>
        <w:jc w:val="center"/>
        <w:rPr>
          <w:lang w:val="en-GB"/>
        </w:rPr>
      </w:pPr>
      <w:r w:rsidRPr="00932562">
        <w:rPr>
          <w:b/>
          <w:bCs/>
          <w:caps/>
          <w:sz w:val="28"/>
          <w:szCs w:val="28"/>
          <w:lang w:val="en-GB"/>
        </w:rPr>
        <w:t>IMT-FSS Coexistence Scenarios IN C-Band</w:t>
      </w:r>
    </w:p>
    <w:p w:rsidR="00C357AD" w:rsidRPr="00932562" w:rsidRDefault="00C357AD" w:rsidP="00927200">
      <w:pPr>
        <w:spacing w:after="120"/>
        <w:jc w:val="both"/>
        <w:rPr>
          <w:b/>
          <w:lang w:val="en-GB"/>
        </w:rPr>
      </w:pPr>
    </w:p>
    <w:p w:rsidR="000A5418" w:rsidRPr="00932562" w:rsidRDefault="00113A32" w:rsidP="00927200">
      <w:pPr>
        <w:pStyle w:val="ListParagraph"/>
        <w:numPr>
          <w:ilvl w:val="0"/>
          <w:numId w:val="10"/>
        </w:numPr>
        <w:spacing w:after="120"/>
        <w:ind w:hanging="720"/>
        <w:contextualSpacing w:val="0"/>
        <w:jc w:val="both"/>
        <w:rPr>
          <w:rStyle w:val="Strong"/>
          <w:sz w:val="28"/>
          <w:szCs w:val="28"/>
          <w:lang w:val="en-GB"/>
        </w:rPr>
      </w:pPr>
      <w:r w:rsidRPr="00932562">
        <w:rPr>
          <w:rStyle w:val="Strong"/>
          <w:sz w:val="28"/>
          <w:szCs w:val="28"/>
          <w:lang w:val="en-GB"/>
        </w:rPr>
        <w:t>Introduction</w:t>
      </w:r>
    </w:p>
    <w:p w:rsidR="00EC5DC3" w:rsidRDefault="00A33C91" w:rsidP="0064244B">
      <w:pPr>
        <w:spacing w:after="240"/>
        <w:rPr>
          <w:lang w:val="en-GB"/>
        </w:rPr>
      </w:pPr>
      <w:r w:rsidRPr="00932562">
        <w:rPr>
          <w:lang w:val="en-GB"/>
        </w:rPr>
        <w:t>A</w:t>
      </w:r>
      <w:r w:rsidR="00113A32" w:rsidRPr="00932562">
        <w:rPr>
          <w:lang w:val="en-GB"/>
        </w:rPr>
        <w:t>dditional spectrum allocations to the mobile service and identification of additional frequency bands for IMT</w:t>
      </w:r>
      <w:r w:rsidRPr="00932562">
        <w:rPr>
          <w:lang w:val="en-GB"/>
        </w:rPr>
        <w:t xml:space="preserve"> will be addressed at WRC-15 under Agenda Item 1.1.</w:t>
      </w:r>
      <w:r w:rsidR="00113A32" w:rsidRPr="00932562">
        <w:rPr>
          <w:lang w:val="en-GB"/>
        </w:rPr>
        <w:t xml:space="preserve"> JTG 4-5-6-7 is conducting compatibility/sharing studies in relation to this</w:t>
      </w:r>
      <w:r w:rsidRPr="00932562">
        <w:rPr>
          <w:lang w:val="en-GB"/>
        </w:rPr>
        <w:t xml:space="preserve"> agenda item</w:t>
      </w:r>
      <w:r w:rsidR="00113A32" w:rsidRPr="00932562">
        <w:rPr>
          <w:lang w:val="en-GB"/>
        </w:rPr>
        <w:t xml:space="preserve">. The GSMA has proposed a number of suitable frequency ranges to be considered as potential candidate bands for IMT (see Document 4-5-6-7/88), including “C-band” frequencies </w:t>
      </w:r>
      <w:r w:rsidR="001043DD" w:rsidRPr="00932562">
        <w:rPr>
          <w:lang w:val="en-GB"/>
        </w:rPr>
        <w:t>in the</w:t>
      </w:r>
      <w:r w:rsidR="00113A32" w:rsidRPr="00932562">
        <w:rPr>
          <w:lang w:val="en-GB"/>
        </w:rPr>
        <w:t xml:space="preserve"> </w:t>
      </w:r>
      <w:r w:rsidR="001043DD" w:rsidRPr="00932562">
        <w:rPr>
          <w:lang w:val="en-GB"/>
        </w:rPr>
        <w:t xml:space="preserve">range </w:t>
      </w:r>
      <w:r w:rsidR="00113A32" w:rsidRPr="00932562">
        <w:rPr>
          <w:lang w:val="en-GB"/>
        </w:rPr>
        <w:t xml:space="preserve">3.4 4.2 GHz. </w:t>
      </w:r>
    </w:p>
    <w:p w:rsidR="00113A32" w:rsidRPr="00932562" w:rsidRDefault="00113A32" w:rsidP="0064244B">
      <w:pPr>
        <w:spacing w:after="240"/>
        <w:rPr>
          <w:lang w:val="en-GB"/>
        </w:rPr>
      </w:pPr>
      <w:r w:rsidRPr="00932562">
        <w:rPr>
          <w:lang w:val="en-GB"/>
        </w:rPr>
        <w:t>There are existing allocations</w:t>
      </w:r>
      <w:r w:rsidR="00A17962" w:rsidRPr="00932562">
        <w:rPr>
          <w:lang w:val="en-GB"/>
        </w:rPr>
        <w:t xml:space="preserve"> </w:t>
      </w:r>
      <w:r w:rsidR="001043DD" w:rsidRPr="00932562">
        <w:rPr>
          <w:lang w:val="en-GB"/>
        </w:rPr>
        <w:t>on co</w:t>
      </w:r>
      <w:r w:rsidR="00932562">
        <w:rPr>
          <w:lang w:val="en-GB"/>
        </w:rPr>
        <w:t>-</w:t>
      </w:r>
      <w:r w:rsidR="001043DD" w:rsidRPr="00932562">
        <w:rPr>
          <w:lang w:val="en-GB"/>
        </w:rPr>
        <w:t>primary</w:t>
      </w:r>
      <w:r w:rsidR="00A17962" w:rsidRPr="00932562">
        <w:rPr>
          <w:lang w:val="en-GB"/>
        </w:rPr>
        <w:t xml:space="preserve"> </w:t>
      </w:r>
      <w:r w:rsidR="00DC6E82" w:rsidRPr="00932562">
        <w:rPr>
          <w:lang w:val="en-GB"/>
        </w:rPr>
        <w:t>basis</w:t>
      </w:r>
      <w:r w:rsidRPr="00932562">
        <w:rPr>
          <w:lang w:val="en-GB"/>
        </w:rPr>
        <w:t xml:space="preserve"> to the Fixed Satellite Service (FSS) (space-to-Earth) in frequency ranges between 3.4 </w:t>
      </w:r>
      <w:r w:rsidR="001043DD" w:rsidRPr="00932562">
        <w:rPr>
          <w:lang w:val="en-GB"/>
        </w:rPr>
        <w:t>-</w:t>
      </w:r>
      <w:r w:rsidRPr="00932562">
        <w:rPr>
          <w:lang w:val="en-GB"/>
        </w:rPr>
        <w:t xml:space="preserve"> 4.2 GHz in all Regions</w:t>
      </w:r>
      <w:r w:rsidR="00A33C91" w:rsidRPr="00932562">
        <w:rPr>
          <w:lang w:val="en-GB"/>
        </w:rPr>
        <w:t xml:space="preserve"> and to mobile service</w:t>
      </w:r>
      <w:r w:rsidR="00DC6E82" w:rsidRPr="00932562">
        <w:rPr>
          <w:lang w:val="en-GB"/>
        </w:rPr>
        <w:t xml:space="preserve"> in the band 3.5-4.2 GHz in Regions 2 and 3</w:t>
      </w:r>
      <w:r w:rsidR="001043DD" w:rsidRPr="00932562">
        <w:rPr>
          <w:lang w:val="en-GB"/>
        </w:rPr>
        <w:t xml:space="preserve">. </w:t>
      </w:r>
      <w:r w:rsidR="00EC5DC3" w:rsidRPr="00EC5DC3">
        <w:rPr>
          <w:lang w:val="en-GB"/>
        </w:rPr>
        <w:t xml:space="preserve"> </w:t>
      </w:r>
      <w:r w:rsidR="00EC5DC3" w:rsidRPr="00932562">
        <w:rPr>
          <w:lang w:val="en-GB"/>
        </w:rPr>
        <w:t>Further,</w:t>
      </w:r>
      <w:r w:rsidR="00EC5DC3">
        <w:rPr>
          <w:lang w:val="en-GB"/>
        </w:rPr>
        <w:t xml:space="preserve"> i</w:t>
      </w:r>
      <w:r w:rsidR="00EC5DC3" w:rsidRPr="00EC5DC3">
        <w:rPr>
          <w:lang w:val="en-GB"/>
        </w:rPr>
        <w:t>t should be noted that WRC-07 allocated the 3 400-3 600 MHz frequency band to mobile service</w:t>
      </w:r>
      <w:r w:rsidR="009829CF">
        <w:rPr>
          <w:lang w:val="en-GB"/>
        </w:rPr>
        <w:t>s</w:t>
      </w:r>
      <w:r w:rsidR="00EC5DC3" w:rsidRPr="00EC5DC3">
        <w:rPr>
          <w:lang w:val="en-GB"/>
        </w:rPr>
        <w:t xml:space="preserve"> and identified </w:t>
      </w:r>
      <w:r w:rsidR="00EC5DC3">
        <w:rPr>
          <w:lang w:val="en-GB"/>
        </w:rPr>
        <w:t xml:space="preserve">it for IMT </w:t>
      </w:r>
      <w:r w:rsidR="009829CF">
        <w:rPr>
          <w:lang w:val="en-GB"/>
        </w:rPr>
        <w:t>in certain countries.</w:t>
      </w:r>
      <w:r w:rsidR="00EC5DC3">
        <w:rPr>
          <w:lang w:val="en-GB"/>
        </w:rPr>
        <w:t xml:space="preserve"> </w:t>
      </w:r>
      <w:r w:rsidR="009829CF">
        <w:rPr>
          <w:lang w:val="en-GB"/>
        </w:rPr>
        <w:t>U</w:t>
      </w:r>
      <w:r w:rsidR="00EC5DC3" w:rsidRPr="00EC5DC3">
        <w:rPr>
          <w:lang w:val="en-GB"/>
        </w:rPr>
        <w:t xml:space="preserve">p to today, </w:t>
      </w:r>
      <w:r w:rsidR="00EC5DC3" w:rsidRPr="00932562">
        <w:rPr>
          <w:lang w:val="en-GB"/>
        </w:rPr>
        <w:t xml:space="preserve">GSMA is not aware </w:t>
      </w:r>
      <w:r w:rsidR="00EC5DC3">
        <w:rPr>
          <w:lang w:val="en-GB"/>
        </w:rPr>
        <w:t xml:space="preserve">of any </w:t>
      </w:r>
      <w:r w:rsidR="00EC5DC3" w:rsidRPr="00EC5DC3">
        <w:rPr>
          <w:lang w:val="en-GB"/>
        </w:rPr>
        <w:t>recorded case of cross-border interference between mobile system and fixed satellite service in neighbouring countries</w:t>
      </w:r>
      <w:r w:rsidR="00EC5DC3">
        <w:rPr>
          <w:lang w:val="en-GB"/>
        </w:rPr>
        <w:t>.</w:t>
      </w:r>
    </w:p>
    <w:p w:rsidR="0064244B" w:rsidRPr="00932562" w:rsidRDefault="0064244B" w:rsidP="0064244B">
      <w:pPr>
        <w:spacing w:after="240"/>
        <w:rPr>
          <w:lang w:val="en-GB"/>
        </w:rPr>
      </w:pPr>
      <w:r w:rsidRPr="00932562">
        <w:rPr>
          <w:lang w:val="en-GB"/>
        </w:rPr>
        <w:t>S</w:t>
      </w:r>
      <w:r w:rsidR="00113A32" w:rsidRPr="00932562">
        <w:rPr>
          <w:lang w:val="en-GB"/>
        </w:rPr>
        <w:t xml:space="preserve">tudies in JTG 4-5-6-7 </w:t>
      </w:r>
      <w:r w:rsidR="00DC6E82" w:rsidRPr="00932562">
        <w:rPr>
          <w:lang w:val="en-GB"/>
        </w:rPr>
        <w:t>use</w:t>
      </w:r>
      <w:r w:rsidRPr="00932562">
        <w:rPr>
          <w:lang w:val="en-GB"/>
        </w:rPr>
        <w:t xml:space="preserve"> the</w:t>
      </w:r>
      <w:r w:rsidR="00A17962" w:rsidRPr="00932562">
        <w:rPr>
          <w:lang w:val="en-GB"/>
        </w:rPr>
        <w:t xml:space="preserve"> </w:t>
      </w:r>
      <w:r w:rsidRPr="00932562">
        <w:rPr>
          <w:lang w:val="en-GB"/>
        </w:rPr>
        <w:t>I/N criterion, that may be suitable to trigger coordination with specific large dish FSS installations</w:t>
      </w:r>
      <w:r w:rsidR="00DC6E82" w:rsidRPr="00932562">
        <w:rPr>
          <w:lang w:val="en-GB"/>
        </w:rPr>
        <w:t>.</w:t>
      </w:r>
      <w:r w:rsidRPr="00932562">
        <w:rPr>
          <w:lang w:val="en-GB"/>
        </w:rPr>
        <w:t xml:space="preserve"> </w:t>
      </w:r>
      <w:r w:rsidR="00DC6E82" w:rsidRPr="00932562">
        <w:rPr>
          <w:lang w:val="en-GB"/>
        </w:rPr>
        <w:t>H</w:t>
      </w:r>
      <w:r w:rsidR="00463EE9" w:rsidRPr="00932562">
        <w:rPr>
          <w:lang w:val="en-GB"/>
        </w:rPr>
        <w:t>owever th</w:t>
      </w:r>
      <w:r w:rsidRPr="00932562">
        <w:rPr>
          <w:lang w:val="en-GB"/>
        </w:rPr>
        <w:t>e</w:t>
      </w:r>
      <w:r w:rsidR="002A1B02" w:rsidRPr="00932562">
        <w:rPr>
          <w:lang w:val="en-GB"/>
        </w:rPr>
        <w:t xml:space="preserve"> </w:t>
      </w:r>
      <w:r w:rsidR="002A1B02" w:rsidRPr="00932562">
        <w:rPr>
          <w:lang w:val="en-GB" w:eastAsia="zh-CN"/>
        </w:rPr>
        <w:t xml:space="preserve">use of the same criteria for large dishes that are part of international broadband FSS end-to-end links and for </w:t>
      </w:r>
      <w:r w:rsidR="00463EE9" w:rsidRPr="00932562">
        <w:rPr>
          <w:lang w:val="en-GB" w:eastAsia="zh-CN"/>
        </w:rPr>
        <w:t xml:space="preserve">ubiquitous </w:t>
      </w:r>
      <w:r w:rsidR="002A1B02" w:rsidRPr="00932562">
        <w:rPr>
          <w:lang w:val="en-GB" w:eastAsia="zh-CN"/>
        </w:rPr>
        <w:t xml:space="preserve">small dishes used for broadcast type services is </w:t>
      </w:r>
      <w:r w:rsidR="00B00B5D" w:rsidRPr="00932562">
        <w:rPr>
          <w:lang w:val="en-GB" w:eastAsia="zh-CN"/>
        </w:rPr>
        <w:t>very much worse case</w:t>
      </w:r>
      <w:r w:rsidR="002A1B02" w:rsidRPr="00932562">
        <w:rPr>
          <w:lang w:val="en-GB" w:eastAsia="zh-CN"/>
        </w:rPr>
        <w:t>.</w:t>
      </w:r>
      <w:r w:rsidR="00B00B5D" w:rsidRPr="00932562">
        <w:rPr>
          <w:lang w:val="en-GB" w:eastAsia="zh-CN"/>
        </w:rPr>
        <w:t xml:space="preserve"> Indeed, GSMA believes that in practice detailed coordination will give rise to much shorter separation distances.</w:t>
      </w:r>
    </w:p>
    <w:p w:rsidR="0064244B" w:rsidRPr="00932562" w:rsidRDefault="00B00B5D" w:rsidP="0064244B">
      <w:pPr>
        <w:spacing w:after="240"/>
        <w:rPr>
          <w:lang w:val="en-GB"/>
        </w:rPr>
      </w:pPr>
      <w:r w:rsidRPr="00932562">
        <w:rPr>
          <w:lang w:val="en-GB"/>
        </w:rPr>
        <w:t xml:space="preserve">Such an </w:t>
      </w:r>
      <w:r w:rsidR="0053291B" w:rsidRPr="00932562">
        <w:rPr>
          <w:lang w:val="en-GB"/>
        </w:rPr>
        <w:t xml:space="preserve">approach is to look at the specific services and assess how their performance could be affected by the introduction of certain types of IMT networks. </w:t>
      </w:r>
      <w:r w:rsidR="0064244B" w:rsidRPr="00932562">
        <w:rPr>
          <w:lang w:val="en-GB"/>
        </w:rPr>
        <w:t>T</w:t>
      </w:r>
      <w:r w:rsidR="00113A32" w:rsidRPr="00932562">
        <w:rPr>
          <w:lang w:val="en-GB"/>
        </w:rPr>
        <w:t xml:space="preserve">his contribution </w:t>
      </w:r>
      <w:r w:rsidR="006053B5" w:rsidRPr="00932562">
        <w:rPr>
          <w:lang w:val="en-GB"/>
        </w:rPr>
        <w:t>take</w:t>
      </w:r>
      <w:r w:rsidR="0064244B" w:rsidRPr="00932562">
        <w:rPr>
          <w:lang w:val="en-GB"/>
        </w:rPr>
        <w:t>s</w:t>
      </w:r>
      <w:r w:rsidR="006053B5" w:rsidRPr="00932562">
        <w:rPr>
          <w:lang w:val="en-GB"/>
        </w:rPr>
        <w:t xml:space="preserve"> a look</w:t>
      </w:r>
      <w:r w:rsidR="00113A32" w:rsidRPr="00932562">
        <w:rPr>
          <w:lang w:val="en-GB"/>
        </w:rPr>
        <w:t xml:space="preserve"> at the potential for </w:t>
      </w:r>
      <w:r w:rsidR="0053291B" w:rsidRPr="00932562">
        <w:rPr>
          <w:lang w:val="en-GB"/>
        </w:rPr>
        <w:t xml:space="preserve">digital TV via satellite </w:t>
      </w:r>
      <w:r w:rsidR="00113A32" w:rsidRPr="00932562">
        <w:rPr>
          <w:lang w:val="en-GB"/>
        </w:rPr>
        <w:t>and IMT network to co</w:t>
      </w:r>
      <w:r w:rsidR="00463EE9" w:rsidRPr="00932562">
        <w:rPr>
          <w:lang w:val="en-GB"/>
        </w:rPr>
        <w:t xml:space="preserve">-exist on a national level. </w:t>
      </w:r>
      <w:r w:rsidR="00084A54" w:rsidRPr="00932562">
        <w:rPr>
          <w:lang w:val="en-GB"/>
        </w:rPr>
        <w:t>It</w:t>
      </w:r>
      <w:r w:rsidR="00463EE9" w:rsidRPr="00932562">
        <w:rPr>
          <w:lang w:val="en-GB"/>
        </w:rPr>
        <w:t xml:space="preserve"> </w:t>
      </w:r>
      <w:r w:rsidR="00DC6E82" w:rsidRPr="00932562">
        <w:rPr>
          <w:lang w:val="en-GB"/>
        </w:rPr>
        <w:t>considers</w:t>
      </w:r>
      <w:r w:rsidR="00113A32" w:rsidRPr="00932562">
        <w:rPr>
          <w:lang w:val="en-GB"/>
        </w:rPr>
        <w:t xml:space="preserve"> </w:t>
      </w:r>
      <w:r w:rsidRPr="00932562">
        <w:rPr>
          <w:lang w:val="en-GB"/>
        </w:rPr>
        <w:t xml:space="preserve">system specific </w:t>
      </w:r>
      <w:r w:rsidR="0064244B" w:rsidRPr="00932562">
        <w:rPr>
          <w:lang w:val="en-GB"/>
        </w:rPr>
        <w:t xml:space="preserve">link budgets for broadcasting service, </w:t>
      </w:r>
      <w:r w:rsidR="0053291B" w:rsidRPr="00932562">
        <w:rPr>
          <w:lang w:val="en-GB"/>
        </w:rPr>
        <w:t>and assess</w:t>
      </w:r>
      <w:r w:rsidR="00DC6E82" w:rsidRPr="00932562">
        <w:rPr>
          <w:lang w:val="en-GB"/>
        </w:rPr>
        <w:t>es</w:t>
      </w:r>
      <w:r w:rsidR="0053291B" w:rsidRPr="00932562">
        <w:rPr>
          <w:lang w:val="en-GB"/>
        </w:rPr>
        <w:t xml:space="preserve"> the sharing feasibility using real </w:t>
      </w:r>
      <w:r w:rsidR="00463EE9" w:rsidRPr="00932562">
        <w:rPr>
          <w:lang w:val="en-GB"/>
        </w:rPr>
        <w:t xml:space="preserve">broadcasting </w:t>
      </w:r>
      <w:r w:rsidR="0053291B" w:rsidRPr="00932562">
        <w:rPr>
          <w:lang w:val="en-GB"/>
        </w:rPr>
        <w:t>satellite standard and parameter</w:t>
      </w:r>
      <w:r w:rsidR="00463EE9" w:rsidRPr="00932562">
        <w:rPr>
          <w:lang w:val="en-GB"/>
        </w:rPr>
        <w:t>s</w:t>
      </w:r>
      <w:r w:rsidR="0053291B" w:rsidRPr="00932562">
        <w:rPr>
          <w:lang w:val="en-GB"/>
        </w:rPr>
        <w:t xml:space="preserve">, associated with </w:t>
      </w:r>
      <w:r w:rsidR="00084A54" w:rsidRPr="00932562">
        <w:rPr>
          <w:lang w:val="en-GB"/>
        </w:rPr>
        <w:t xml:space="preserve">genuine </w:t>
      </w:r>
      <w:r w:rsidR="0053291B" w:rsidRPr="00932562">
        <w:rPr>
          <w:lang w:val="en-GB"/>
        </w:rPr>
        <w:t>terrain data.</w:t>
      </w:r>
    </w:p>
    <w:p w:rsidR="0042215E" w:rsidRPr="00932562" w:rsidRDefault="0053291B" w:rsidP="00741138">
      <w:pPr>
        <w:spacing w:after="240"/>
        <w:rPr>
          <w:lang w:val="en-GB"/>
        </w:rPr>
      </w:pPr>
      <w:r w:rsidRPr="00932562">
        <w:rPr>
          <w:lang w:val="en-GB"/>
        </w:rPr>
        <w:t>The sce</w:t>
      </w:r>
      <w:r w:rsidR="00C86871" w:rsidRPr="00932562">
        <w:rPr>
          <w:lang w:val="en-GB"/>
        </w:rPr>
        <w:t xml:space="preserve">nario of </w:t>
      </w:r>
      <w:r w:rsidR="0042215E" w:rsidRPr="00932562">
        <w:rPr>
          <w:lang w:val="en-GB"/>
        </w:rPr>
        <w:t xml:space="preserve">this </w:t>
      </w:r>
      <w:r w:rsidR="00C86871" w:rsidRPr="00932562">
        <w:rPr>
          <w:lang w:val="en-GB"/>
        </w:rPr>
        <w:t xml:space="preserve">study is based on the </w:t>
      </w:r>
      <w:r w:rsidR="00DC6E82" w:rsidRPr="00932562">
        <w:rPr>
          <w:lang w:val="en-GB"/>
        </w:rPr>
        <w:t>concept</w:t>
      </w:r>
      <w:r w:rsidR="00084A54" w:rsidRPr="00932562">
        <w:rPr>
          <w:lang w:val="en-GB"/>
        </w:rPr>
        <w:t xml:space="preserve"> </w:t>
      </w:r>
      <w:r w:rsidR="00C86871" w:rsidRPr="00932562">
        <w:rPr>
          <w:lang w:val="en-GB"/>
        </w:rPr>
        <w:t>that</w:t>
      </w:r>
      <w:r w:rsidR="00DC6E82" w:rsidRPr="00932562">
        <w:rPr>
          <w:lang w:val="en-GB"/>
        </w:rPr>
        <w:t xml:space="preserve"> the</w:t>
      </w:r>
      <w:r w:rsidR="00C86871" w:rsidRPr="00932562">
        <w:rPr>
          <w:lang w:val="en-GB"/>
        </w:rPr>
        <w:t xml:space="preserve"> </w:t>
      </w:r>
      <w:r w:rsidR="00463EE9" w:rsidRPr="00932562">
        <w:rPr>
          <w:lang w:val="en-GB"/>
        </w:rPr>
        <w:t>C-</w:t>
      </w:r>
      <w:r w:rsidRPr="00932562">
        <w:rPr>
          <w:lang w:val="en-GB"/>
        </w:rPr>
        <w:t>band for IMT would in reality only be req</w:t>
      </w:r>
      <w:r w:rsidR="00463EE9" w:rsidRPr="00932562">
        <w:rPr>
          <w:lang w:val="en-GB"/>
        </w:rPr>
        <w:t>uired in dense urban areas</w:t>
      </w:r>
      <w:r w:rsidR="00A1520C" w:rsidRPr="00932562">
        <w:rPr>
          <w:lang w:val="en-GB"/>
        </w:rPr>
        <w:t>, and</w:t>
      </w:r>
      <w:r w:rsidR="00463EE9" w:rsidRPr="00932562">
        <w:rPr>
          <w:lang w:val="en-GB"/>
        </w:rPr>
        <w:t xml:space="preserve"> </w:t>
      </w:r>
      <w:r w:rsidR="00B00B5D" w:rsidRPr="00932562">
        <w:rPr>
          <w:lang w:val="en-GB"/>
        </w:rPr>
        <w:t xml:space="preserve">would still allow the whole of the </w:t>
      </w:r>
      <w:r w:rsidRPr="00932562">
        <w:rPr>
          <w:lang w:val="en-GB"/>
        </w:rPr>
        <w:t xml:space="preserve">FSS </w:t>
      </w:r>
      <w:r w:rsidR="00B00B5D" w:rsidRPr="00932562">
        <w:rPr>
          <w:lang w:val="en-GB"/>
        </w:rPr>
        <w:t xml:space="preserve">band to be </w:t>
      </w:r>
      <w:r w:rsidRPr="00932562">
        <w:rPr>
          <w:lang w:val="en-GB"/>
        </w:rPr>
        <w:t>used in rural areas</w:t>
      </w:r>
      <w:r w:rsidR="00B00B5D" w:rsidRPr="00932562">
        <w:rPr>
          <w:lang w:val="en-GB"/>
        </w:rPr>
        <w:t xml:space="preserve">. </w:t>
      </w:r>
      <w:r w:rsidRPr="00932562">
        <w:rPr>
          <w:lang w:val="en-GB"/>
        </w:rPr>
        <w:t xml:space="preserve"> </w:t>
      </w:r>
      <w:r w:rsidR="00F455F1" w:rsidRPr="00932562">
        <w:rPr>
          <w:lang w:val="en-GB"/>
        </w:rPr>
        <w:t>This scenario was also explored from an economic view by Frontier Economics</w:t>
      </w:r>
      <w:r w:rsidR="00F455F1" w:rsidRPr="00932562">
        <w:rPr>
          <w:vertAlign w:val="superscript"/>
          <w:lang w:val="en-GB"/>
        </w:rPr>
        <w:footnoteReference w:id="1"/>
      </w:r>
      <w:r w:rsidR="00F455F1" w:rsidRPr="00932562">
        <w:rPr>
          <w:vertAlign w:val="superscript"/>
          <w:lang w:val="en-GB"/>
        </w:rPr>
        <w:t xml:space="preserve"> </w:t>
      </w:r>
      <w:r w:rsidR="00F455F1" w:rsidRPr="00932562">
        <w:rPr>
          <w:lang w:val="en-GB"/>
        </w:rPr>
        <w:t>for the Asia-Pacific market.</w:t>
      </w:r>
    </w:p>
    <w:p w:rsidR="00B00B5D" w:rsidRPr="00932562" w:rsidRDefault="0042215E">
      <w:pPr>
        <w:rPr>
          <w:lang w:val="en-GB"/>
        </w:rPr>
      </w:pPr>
      <w:r w:rsidRPr="00932562">
        <w:rPr>
          <w:lang w:val="en-GB"/>
        </w:rPr>
        <w:t xml:space="preserve">This </w:t>
      </w:r>
      <w:r w:rsidR="00A17962" w:rsidRPr="00932562">
        <w:rPr>
          <w:lang w:val="en-GB"/>
        </w:rPr>
        <w:t xml:space="preserve">study calculates, for some example cities in Asia, what would be the required separation zone between an IMT </w:t>
      </w:r>
      <w:r w:rsidR="00BE0504">
        <w:rPr>
          <w:lang w:val="en-GB"/>
        </w:rPr>
        <w:t>micro</w:t>
      </w:r>
      <w:r w:rsidR="00A17962" w:rsidRPr="00932562">
        <w:rPr>
          <w:lang w:val="en-GB"/>
        </w:rPr>
        <w:t xml:space="preserve">-cell network in an urban area and ubiquitous FSS (TVRO) receivers in the surrounding area operating on the same frequency. </w:t>
      </w:r>
    </w:p>
    <w:p w:rsidR="00B00B5D" w:rsidRPr="00932562" w:rsidRDefault="00B00B5D">
      <w:pPr>
        <w:rPr>
          <w:lang w:val="en-GB"/>
        </w:rPr>
      </w:pPr>
    </w:p>
    <w:p w:rsidR="00A17962" w:rsidRPr="00932562" w:rsidRDefault="00B00B5D">
      <w:pPr>
        <w:rPr>
          <w:lang w:val="en-GB"/>
        </w:rPr>
      </w:pPr>
      <w:r w:rsidRPr="00932562">
        <w:rPr>
          <w:lang w:val="en-GB"/>
        </w:rPr>
        <w:t>The study</w:t>
      </w:r>
      <w:r w:rsidR="00A17962" w:rsidRPr="00932562">
        <w:rPr>
          <w:lang w:val="en-GB"/>
        </w:rPr>
        <w:t xml:space="preserve"> shows that, under realistic but conservative assumptions, </w:t>
      </w:r>
      <w:r w:rsidR="00A17962" w:rsidRPr="00932562">
        <w:rPr>
          <w:u w:val="single"/>
          <w:lang w:val="en-GB"/>
        </w:rPr>
        <w:t>a separation distance of 2.5</w:t>
      </w:r>
      <w:r w:rsidR="00084A54" w:rsidRPr="00932562">
        <w:rPr>
          <w:u w:val="single"/>
          <w:lang w:val="en-GB"/>
        </w:rPr>
        <w:t>-3.5</w:t>
      </w:r>
      <w:r w:rsidR="00A17962" w:rsidRPr="00932562">
        <w:rPr>
          <w:u w:val="single"/>
          <w:lang w:val="en-GB"/>
        </w:rPr>
        <w:t xml:space="preserve"> km would typically be required.</w:t>
      </w:r>
      <w:r w:rsidR="00A17962" w:rsidRPr="00932562">
        <w:rPr>
          <w:lang w:val="en-GB"/>
        </w:rPr>
        <w:t xml:space="preserve"> This </w:t>
      </w:r>
      <w:r w:rsidR="00C50B06" w:rsidRPr="00932562">
        <w:rPr>
          <w:lang w:val="en-GB"/>
        </w:rPr>
        <w:t xml:space="preserve">is in </w:t>
      </w:r>
      <w:r w:rsidR="00A17962" w:rsidRPr="00932562">
        <w:rPr>
          <w:lang w:val="en-GB"/>
        </w:rPr>
        <w:t>contrast with the much larger separation distances that have been calculated in JTG 4-5-6-7</w:t>
      </w:r>
      <w:r w:rsidR="00084A54" w:rsidRPr="00932562">
        <w:rPr>
          <w:lang w:val="en-GB"/>
        </w:rPr>
        <w:t xml:space="preserve">, which would preclude this scenario, and prevent the national administration from providing the benefits discussed at relatively little risk. </w:t>
      </w:r>
      <w:r w:rsidR="00C31F4A">
        <w:rPr>
          <w:lang w:val="en-GB"/>
        </w:rPr>
        <w:t>Also</w:t>
      </w:r>
      <w:r w:rsidR="00471737">
        <w:rPr>
          <w:lang w:val="en-GB"/>
        </w:rPr>
        <w:t>,</w:t>
      </w:r>
      <w:r w:rsidR="00C31F4A">
        <w:rPr>
          <w:lang w:val="en-GB"/>
        </w:rPr>
        <w:t xml:space="preserve"> this</w:t>
      </w:r>
      <w:r w:rsidR="00471737">
        <w:rPr>
          <w:lang w:val="en-GB"/>
        </w:rPr>
        <w:t xml:space="preserve"> separation distance could be one way to address in-country real interference cases between Wi</w:t>
      </w:r>
      <w:r w:rsidR="009829CF">
        <w:rPr>
          <w:lang w:val="en-GB"/>
        </w:rPr>
        <w:t>MAX</w:t>
      </w:r>
      <w:r w:rsidR="00471737">
        <w:rPr>
          <w:lang w:val="en-GB"/>
        </w:rPr>
        <w:t xml:space="preserve"> and FSS, as described in JTG sharing studies</w:t>
      </w:r>
      <w:r w:rsidR="00471737">
        <w:rPr>
          <w:rStyle w:val="FootnoteReference"/>
          <w:lang w:val="en-GB"/>
        </w:rPr>
        <w:footnoteReference w:id="2"/>
      </w:r>
      <w:r w:rsidR="00C31F4A">
        <w:rPr>
          <w:lang w:val="en-GB"/>
        </w:rPr>
        <w:t xml:space="preserve">. </w:t>
      </w:r>
      <w:r w:rsidR="001F4EDA" w:rsidRPr="00932562">
        <w:rPr>
          <w:lang w:val="en-GB"/>
        </w:rPr>
        <w:t>More details on the study can be found in the annex of this contribution.</w:t>
      </w:r>
    </w:p>
    <w:p w:rsidR="001F4EDA" w:rsidRPr="00932562" w:rsidRDefault="001F4EDA" w:rsidP="0053291B">
      <w:pPr>
        <w:rPr>
          <w:lang w:val="en-GB"/>
        </w:rPr>
      </w:pPr>
    </w:p>
    <w:p w:rsidR="001F4EDA" w:rsidRPr="00932562" w:rsidRDefault="001F4EDA" w:rsidP="00741138">
      <w:pPr>
        <w:pStyle w:val="ListParagraph"/>
        <w:numPr>
          <w:ilvl w:val="0"/>
          <w:numId w:val="10"/>
        </w:numPr>
        <w:spacing w:after="120"/>
        <w:ind w:hanging="720"/>
        <w:contextualSpacing w:val="0"/>
        <w:jc w:val="both"/>
        <w:rPr>
          <w:lang w:val="en-GB"/>
        </w:rPr>
      </w:pPr>
      <w:r w:rsidRPr="00932562">
        <w:rPr>
          <w:rStyle w:val="Strong"/>
          <w:sz w:val="28"/>
          <w:szCs w:val="28"/>
          <w:lang w:val="en-GB"/>
        </w:rPr>
        <w:t>Proposal</w:t>
      </w:r>
    </w:p>
    <w:p w:rsidR="001F4EDA" w:rsidRPr="00932562" w:rsidRDefault="001F4EDA" w:rsidP="0053291B">
      <w:pPr>
        <w:rPr>
          <w:lang w:val="en-GB"/>
        </w:rPr>
      </w:pPr>
      <w:r w:rsidRPr="00932562">
        <w:rPr>
          <w:lang w:val="en-GB"/>
        </w:rPr>
        <w:t xml:space="preserve">The potential of sharing of the band 3.4-4.2 GHz on a national level is demonstrated through this paper. This would provide flexibility to maximize the </w:t>
      </w:r>
      <w:r w:rsidR="00D44916" w:rsidRPr="00932562">
        <w:rPr>
          <w:lang w:val="en-GB"/>
        </w:rPr>
        <w:t>efficient usage of the band, and</w:t>
      </w:r>
      <w:r w:rsidRPr="00932562">
        <w:rPr>
          <w:lang w:val="en-GB"/>
        </w:rPr>
        <w:t xml:space="preserve"> the bandwidth and time of its application is at the discretion of the national regulator. </w:t>
      </w:r>
      <w:r w:rsidR="00C31F4A">
        <w:rPr>
          <w:lang w:val="en-GB"/>
        </w:rPr>
        <w:t>The national regulatory matter</w:t>
      </w:r>
      <w:r w:rsidR="009829CF">
        <w:rPr>
          <w:lang w:val="en-GB"/>
        </w:rPr>
        <w:t>s</w:t>
      </w:r>
      <w:r w:rsidR="00C31F4A">
        <w:rPr>
          <w:lang w:val="en-GB"/>
        </w:rPr>
        <w:t xml:space="preserve"> should be kept distinct from the international radio regulations under consideration at WRC, h</w:t>
      </w:r>
      <w:r w:rsidRPr="00932562">
        <w:rPr>
          <w:lang w:val="en-GB"/>
        </w:rPr>
        <w:t xml:space="preserve">owever, in order to benefits from this flexibility and </w:t>
      </w:r>
      <w:r w:rsidR="00D44916" w:rsidRPr="00932562">
        <w:rPr>
          <w:lang w:val="en-GB"/>
        </w:rPr>
        <w:t xml:space="preserve">the associated </w:t>
      </w:r>
      <w:r w:rsidRPr="00932562">
        <w:rPr>
          <w:lang w:val="en-GB"/>
        </w:rPr>
        <w:t>economy of scale, administrations</w:t>
      </w:r>
      <w:r w:rsidR="00084A54" w:rsidRPr="00932562">
        <w:rPr>
          <w:lang w:val="en-GB"/>
        </w:rPr>
        <w:t xml:space="preserve"> would</w:t>
      </w:r>
      <w:r w:rsidRPr="00932562">
        <w:rPr>
          <w:lang w:val="en-GB"/>
        </w:rPr>
        <w:t xml:space="preserve"> need to support identification of all or part of 3.4-4.2GHz for IMT</w:t>
      </w:r>
      <w:r w:rsidR="00D44916" w:rsidRPr="00932562">
        <w:rPr>
          <w:lang w:val="en-GB"/>
        </w:rPr>
        <w:t xml:space="preserve"> in WRC-15</w:t>
      </w:r>
      <w:r w:rsidR="009829CF">
        <w:rPr>
          <w:lang w:val="en-GB"/>
        </w:rPr>
        <w:t xml:space="preserve"> </w:t>
      </w:r>
      <w:r w:rsidR="009829CF" w:rsidRPr="009829CF">
        <w:rPr>
          <w:lang w:val="en-GB"/>
        </w:rPr>
        <w:t>Agenda Item 1.1</w:t>
      </w:r>
      <w:r w:rsidRPr="00932562">
        <w:rPr>
          <w:lang w:val="en-GB"/>
        </w:rPr>
        <w:t>.</w:t>
      </w:r>
    </w:p>
    <w:p w:rsidR="0053291B" w:rsidRPr="00932562" w:rsidRDefault="0053291B" w:rsidP="0053291B">
      <w:pPr>
        <w:rPr>
          <w:lang w:val="en-GB"/>
        </w:rPr>
      </w:pPr>
    </w:p>
    <w:p w:rsidR="0042215E" w:rsidRPr="00932562" w:rsidRDefault="00113A32">
      <w:pPr>
        <w:rPr>
          <w:lang w:val="en-GB"/>
        </w:rPr>
      </w:pPr>
      <w:r w:rsidRPr="00932562">
        <w:rPr>
          <w:lang w:val="en-GB"/>
        </w:rPr>
        <w:br w:type="page"/>
      </w:r>
    </w:p>
    <w:p w:rsidR="00113A32" w:rsidRPr="00932562" w:rsidRDefault="00113A32">
      <w:pPr>
        <w:rPr>
          <w:rFonts w:eastAsia="Times New Roman"/>
          <w:caps/>
          <w:sz w:val="28"/>
          <w:szCs w:val="20"/>
          <w:lang w:val="en-GB"/>
        </w:rPr>
      </w:pPr>
    </w:p>
    <w:p w:rsidR="00113A32" w:rsidRPr="00932562" w:rsidRDefault="00113A32" w:rsidP="00113A32">
      <w:pPr>
        <w:pStyle w:val="AnnexNo"/>
      </w:pPr>
      <w:r w:rsidRPr="00932562">
        <w:t>ANNEX</w:t>
      </w:r>
    </w:p>
    <w:p w:rsidR="00113A32" w:rsidRPr="00932562" w:rsidRDefault="00113A32" w:rsidP="00927200">
      <w:pPr>
        <w:spacing w:after="120"/>
        <w:jc w:val="center"/>
        <w:rPr>
          <w:b/>
          <w:sz w:val="28"/>
          <w:szCs w:val="28"/>
          <w:lang w:val="en-GB"/>
        </w:rPr>
      </w:pPr>
      <w:r w:rsidRPr="00932562">
        <w:rPr>
          <w:b/>
          <w:sz w:val="28"/>
          <w:szCs w:val="28"/>
          <w:lang w:val="en-GB"/>
        </w:rPr>
        <w:t>Urban IMT vs Rural FSS DTH in C-Band</w:t>
      </w:r>
    </w:p>
    <w:p w:rsidR="00624DA4" w:rsidRPr="00932562" w:rsidRDefault="00624DA4" w:rsidP="00741138">
      <w:pPr>
        <w:pStyle w:val="ListParagraph"/>
        <w:keepNext/>
        <w:spacing w:before="120" w:after="120"/>
        <w:ind w:left="360"/>
        <w:outlineLvl w:val="0"/>
        <w:rPr>
          <w:snapToGrid w:val="0"/>
          <w:lang w:val="en-GB"/>
        </w:rPr>
      </w:pPr>
    </w:p>
    <w:p w:rsidR="00624DA4" w:rsidRPr="00932562" w:rsidRDefault="00624DA4" w:rsidP="00741138">
      <w:pPr>
        <w:pStyle w:val="ListParagraph"/>
        <w:keepNext/>
        <w:numPr>
          <w:ilvl w:val="0"/>
          <w:numId w:val="14"/>
        </w:numPr>
        <w:spacing w:before="120" w:after="120"/>
        <w:ind w:left="284" w:hanging="357"/>
        <w:outlineLvl w:val="0"/>
        <w:rPr>
          <w:rFonts w:ascii="Arial" w:eastAsia="Times New Roman" w:hAnsi="Arial"/>
          <w:b/>
          <w:smallCaps/>
          <w:kern w:val="28"/>
          <w:sz w:val="28"/>
          <w:szCs w:val="20"/>
          <w:lang w:val="en-GB"/>
        </w:rPr>
      </w:pPr>
      <w:bookmarkStart w:id="1" w:name="_Toc388561187"/>
      <w:r w:rsidRPr="00932562">
        <w:rPr>
          <w:rFonts w:ascii="Arial" w:eastAsia="Times New Roman" w:hAnsi="Arial"/>
          <w:b/>
          <w:smallCaps/>
          <w:kern w:val="28"/>
          <w:sz w:val="28"/>
          <w:szCs w:val="20"/>
          <w:lang w:val="en-GB"/>
        </w:rPr>
        <w:t>Introduction</w:t>
      </w:r>
      <w:bookmarkEnd w:id="1"/>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Satellite delivered TV services in C-band are</w:t>
      </w:r>
      <w:r w:rsidR="00FE359C" w:rsidRPr="00932562">
        <w:rPr>
          <w:rFonts w:eastAsia="Times New Roman"/>
          <w:sz w:val="22"/>
          <w:szCs w:val="20"/>
          <w:lang w:val="en-GB"/>
        </w:rPr>
        <w:t xml:space="preserve"> </w:t>
      </w:r>
      <w:r w:rsidRPr="00932562">
        <w:rPr>
          <w:rFonts w:eastAsia="Times New Roman"/>
          <w:sz w:val="22"/>
          <w:szCs w:val="20"/>
          <w:lang w:val="en-GB"/>
        </w:rPr>
        <w:t>a valuable part of the mix of telecommunications services to many parts of the world. In regions of high rainfall, where wired and cellular network infrastructure is expensive to install, C-band satellite is a proven solution.</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In developed areas terrestrial cellular IMT infrastructure can provide a much wider range of services – including streamed video – at high quality, low cost to the consumer and in a spectrally efficient way.</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study presented in this document looks at the potential for C-band satellite and certain types of IMT network to co-exist on a national level – maintaining the unique benefits of both. The aim is to provide national Administrations with a method for assessing the types of system they can license together – to the benefit of their citizen consumers.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approach taken is to look for conditions under which co-existence would be possible. This is in contrast to the approach of JTG 4-5-6-7 which concentrates on worst case assumptions and protection of generic FSS services to regulatory levels – essentially searching for cases where coexistence is impossible.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Our approach here, if carefully applied, will lead to benefits for the national economy, for consumers and to a significant increase in the efficient use of the radio spectrum.</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We have found that not only is there a significant difference in the size of the exclusion zones found by the JTG method and those we find here, but also that a separation of 2.5 -3.5 km would safeguard the majority of the FSS receivers in the cases we studied. In some cases - mainly open areas of high ground - there could be a chance of interference effects at larger separation distance, but these are very small areas and could be dealt with on a case by case basis by the regulator.</w:t>
      </w:r>
    </w:p>
    <w:p w:rsidR="00624DA4" w:rsidRPr="00932562" w:rsidRDefault="00624DA4" w:rsidP="005611C6">
      <w:pPr>
        <w:keepNext/>
        <w:numPr>
          <w:ilvl w:val="1"/>
          <w:numId w:val="0"/>
        </w:numPr>
        <w:tabs>
          <w:tab w:val="num" w:pos="576"/>
        </w:tabs>
        <w:spacing w:before="240" w:after="60"/>
        <w:ind w:left="576" w:hanging="576"/>
        <w:outlineLvl w:val="1"/>
        <w:rPr>
          <w:rFonts w:ascii="Arial" w:eastAsia="Times New Roman" w:hAnsi="Arial"/>
          <w:b/>
          <w:szCs w:val="20"/>
          <w:lang w:val="en-GB"/>
        </w:rPr>
      </w:pPr>
      <w:r w:rsidRPr="00932562">
        <w:rPr>
          <w:rFonts w:ascii="Arial" w:eastAsia="Times New Roman" w:hAnsi="Arial"/>
          <w:b/>
          <w:szCs w:val="20"/>
          <w:lang w:val="en-GB"/>
        </w:rPr>
        <w:t>1.1 Outline of Analysis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We have looked at interference levels between an IMT </w:t>
      </w:r>
      <w:r w:rsidR="00BE0504">
        <w:rPr>
          <w:rFonts w:eastAsia="Times New Roman"/>
          <w:sz w:val="22"/>
          <w:szCs w:val="20"/>
          <w:lang w:val="en-GB"/>
        </w:rPr>
        <w:t>Micro</w:t>
      </w:r>
      <w:r w:rsidRPr="00932562">
        <w:rPr>
          <w:rFonts w:eastAsia="Times New Roman"/>
          <w:sz w:val="22"/>
          <w:szCs w:val="20"/>
          <w:lang w:val="en-GB"/>
        </w:rPr>
        <w:t xml:space="preserve"> Cell Outdoor base station and a 1.8M FSS earth station receiving DVB-S2 services from a real satellite.</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IMT station is deployed anywhere in a defined region in several city centres. This region we may refer to as the licensed area for IMT operation and we have chosen a circular region of 5 km in radius.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We then calculate a contour within which the FSS earth station would not be protected from interference. We calculate this contour under two sets of assumptions </w:t>
      </w:r>
    </w:p>
    <w:p w:rsidR="00624DA4" w:rsidRPr="00932562" w:rsidRDefault="00624DA4" w:rsidP="00624DA4">
      <w:pPr>
        <w:numPr>
          <w:ilvl w:val="0"/>
          <w:numId w:val="11"/>
        </w:numPr>
        <w:spacing w:after="120"/>
        <w:jc w:val="both"/>
        <w:rPr>
          <w:rFonts w:eastAsia="Times New Roman"/>
          <w:sz w:val="22"/>
          <w:szCs w:val="20"/>
          <w:lang w:val="en-GB"/>
        </w:rPr>
      </w:pPr>
      <w:r w:rsidRPr="00932562">
        <w:rPr>
          <w:rFonts w:eastAsia="Times New Roman"/>
          <w:sz w:val="22"/>
          <w:szCs w:val="20"/>
          <w:lang w:val="en-GB"/>
        </w:rPr>
        <w:t>Where the interference level is limited to a generic allowance that is applied across all types of FSS installation and FSS service- this is the I/N method</w:t>
      </w:r>
    </w:p>
    <w:p w:rsidR="00624DA4" w:rsidRPr="00932562" w:rsidRDefault="00624DA4" w:rsidP="00624DA4">
      <w:pPr>
        <w:numPr>
          <w:ilvl w:val="0"/>
          <w:numId w:val="11"/>
        </w:numPr>
        <w:spacing w:after="120"/>
        <w:jc w:val="both"/>
        <w:rPr>
          <w:rFonts w:eastAsia="Times New Roman"/>
          <w:sz w:val="22"/>
          <w:szCs w:val="20"/>
          <w:lang w:val="en-GB"/>
        </w:rPr>
      </w:pPr>
      <w:r w:rsidRPr="00932562">
        <w:rPr>
          <w:rFonts w:eastAsia="Times New Roman"/>
          <w:sz w:val="22"/>
          <w:szCs w:val="20"/>
          <w:lang w:val="en-GB"/>
        </w:rPr>
        <w:t>Where the interference level is limited by the overall performance of the specific FSS service and installation, taking into account the required signal to noise ratio and the impact of other sources of interference- this is the C/I method</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two approaches are discussed in detail in Section </w:t>
      </w:r>
      <w:r w:rsidRPr="00932562">
        <w:rPr>
          <w:rFonts w:eastAsia="Times New Roman"/>
          <w:sz w:val="22"/>
          <w:szCs w:val="20"/>
          <w:lang w:val="en-GB"/>
        </w:rPr>
        <w:fldChar w:fldCharType="begin"/>
      </w:r>
      <w:r w:rsidRPr="00932562">
        <w:rPr>
          <w:rFonts w:eastAsia="Times New Roman"/>
          <w:sz w:val="22"/>
          <w:szCs w:val="20"/>
          <w:lang w:val="en-GB"/>
        </w:rPr>
        <w:instrText xml:space="preserve"> REF _Ref389006983 \r \h </w:instrText>
      </w:r>
      <w:r w:rsidRPr="00932562">
        <w:rPr>
          <w:rFonts w:eastAsia="Times New Roman"/>
          <w:sz w:val="22"/>
          <w:szCs w:val="20"/>
          <w:lang w:val="en-GB"/>
        </w:rPr>
      </w:r>
      <w:r w:rsidRPr="00932562">
        <w:rPr>
          <w:rFonts w:eastAsia="Times New Roman"/>
          <w:sz w:val="22"/>
          <w:szCs w:val="20"/>
          <w:lang w:val="en-GB"/>
        </w:rPr>
        <w:fldChar w:fldCharType="separate"/>
      </w:r>
      <w:r w:rsidR="00BE0504">
        <w:rPr>
          <w:rFonts w:eastAsia="Times New Roman"/>
          <w:sz w:val="22"/>
          <w:szCs w:val="20"/>
          <w:lang w:val="en-GB"/>
        </w:rPr>
        <w:t>3</w:t>
      </w:r>
      <w:r w:rsidRPr="00932562">
        <w:rPr>
          <w:rFonts w:eastAsia="Times New Roman"/>
          <w:sz w:val="22"/>
          <w:szCs w:val="20"/>
          <w:lang w:val="en-GB"/>
        </w:rPr>
        <w:fldChar w:fldCharType="end"/>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figure below illustrates the sharing scenario we are looking at</w:t>
      </w:r>
    </w:p>
    <w:p w:rsidR="00624DA4" w:rsidRPr="00932562" w:rsidRDefault="00624DA4" w:rsidP="00624DA4">
      <w:pPr>
        <w:spacing w:after="120"/>
        <w:ind w:left="624"/>
        <w:jc w:val="both"/>
        <w:rPr>
          <w:rFonts w:eastAsia="Times New Roman"/>
          <w:sz w:val="22"/>
          <w:szCs w:val="20"/>
          <w:lang w:val="en-GB"/>
        </w:rPr>
      </w:pPr>
      <w:r w:rsidRPr="00932562">
        <w:rPr>
          <w:rFonts w:eastAsia="Times New Roman"/>
          <w:noProof/>
          <w:sz w:val="22"/>
          <w:szCs w:val="20"/>
        </w:rPr>
        <w:lastRenderedPageBreak/>
        <w:drawing>
          <wp:inline distT="0" distB="0" distL="0" distR="0" wp14:anchorId="190FC3B2" wp14:editId="0CD348D4">
            <wp:extent cx="5210175" cy="1619250"/>
            <wp:effectExtent l="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1619250"/>
                    </a:xfrm>
                    <a:prstGeom prst="rect">
                      <a:avLst/>
                    </a:prstGeom>
                    <a:noFill/>
                    <a:ln>
                      <a:noFill/>
                    </a:ln>
                  </pic:spPr>
                </pic:pic>
              </a:graphicData>
            </a:graphic>
          </wp:inline>
        </w:drawing>
      </w:r>
    </w:p>
    <w:p w:rsidR="00624DA4" w:rsidRPr="00932562" w:rsidRDefault="00624DA4" w:rsidP="00624DA4">
      <w:pPr>
        <w:spacing w:before="120" w:after="120"/>
        <w:jc w:val="center"/>
        <w:rPr>
          <w:rFonts w:eastAsia="Batang"/>
          <w:b/>
          <w:sz w:val="22"/>
          <w:szCs w:val="20"/>
          <w:lang w:val="en-GB" w:bidi="th-TH"/>
        </w:rPr>
      </w:pPr>
      <w:r w:rsidRPr="00932562">
        <w:rPr>
          <w:rFonts w:eastAsia="Batang"/>
          <w:b/>
          <w:sz w:val="22"/>
          <w:szCs w:val="20"/>
          <w:lang w:val="en-GB" w:bidi="th-TH"/>
        </w:rPr>
        <w:t xml:space="preserve">Figure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Figure \* ARABIC </w:instrText>
      </w:r>
      <w:r w:rsidRPr="00932562">
        <w:rPr>
          <w:rFonts w:eastAsia="Batang"/>
          <w:b/>
          <w:sz w:val="22"/>
          <w:szCs w:val="20"/>
          <w:lang w:val="en-GB" w:bidi="th-TH"/>
        </w:rPr>
        <w:fldChar w:fldCharType="separate"/>
      </w:r>
      <w:r w:rsidR="00BE0504">
        <w:rPr>
          <w:rFonts w:eastAsia="Batang"/>
          <w:b/>
          <w:noProof/>
          <w:sz w:val="22"/>
          <w:szCs w:val="20"/>
          <w:lang w:val="en-GB" w:bidi="th-TH"/>
        </w:rPr>
        <w:t>1</w:t>
      </w:r>
      <w:r w:rsidRPr="00932562">
        <w:rPr>
          <w:rFonts w:eastAsia="Batang"/>
          <w:b/>
          <w:sz w:val="22"/>
          <w:szCs w:val="20"/>
          <w:lang w:val="en-GB" w:bidi="th-TH"/>
        </w:rPr>
        <w:fldChar w:fldCharType="end"/>
      </w:r>
      <w:r w:rsidRPr="00932562">
        <w:rPr>
          <w:rFonts w:eastAsia="Batang"/>
          <w:b/>
          <w:sz w:val="22"/>
          <w:szCs w:val="20"/>
          <w:lang w:val="en-GB" w:bidi="th-TH"/>
        </w:rPr>
        <w:t xml:space="preserve"> – </w:t>
      </w:r>
      <w:r w:rsidR="00BE0504">
        <w:rPr>
          <w:rFonts w:eastAsia="Batang"/>
          <w:b/>
          <w:sz w:val="22"/>
          <w:szCs w:val="20"/>
          <w:lang w:val="en-GB" w:bidi="th-TH"/>
        </w:rPr>
        <w:t>micro</w:t>
      </w:r>
      <w:r w:rsidRPr="00932562">
        <w:rPr>
          <w:rFonts w:eastAsia="Batang"/>
          <w:b/>
          <w:sz w:val="22"/>
          <w:szCs w:val="20"/>
          <w:lang w:val="en-GB" w:bidi="th-TH"/>
        </w:rPr>
        <w:t xml:space="preserve"> cell outdoor IMT base station potentially interfering with an FSS dishes in an urban area – the question is, what separation distance is actually required to the allow the FSS to receive DVB-S2 services</w:t>
      </w:r>
    </w:p>
    <w:p w:rsidR="00624DA4" w:rsidRPr="00932562" w:rsidRDefault="00624DA4" w:rsidP="00741138">
      <w:pPr>
        <w:pStyle w:val="ListParagraph"/>
        <w:keepNext/>
        <w:numPr>
          <w:ilvl w:val="0"/>
          <w:numId w:val="14"/>
        </w:numPr>
        <w:spacing w:before="120" w:after="120"/>
        <w:ind w:left="0" w:hanging="5"/>
        <w:outlineLvl w:val="0"/>
        <w:rPr>
          <w:rFonts w:ascii="Arial" w:eastAsia="Times New Roman" w:hAnsi="Arial"/>
          <w:b/>
          <w:smallCaps/>
          <w:kern w:val="28"/>
          <w:sz w:val="28"/>
          <w:szCs w:val="20"/>
          <w:lang w:val="en-GB"/>
        </w:rPr>
      </w:pPr>
      <w:bookmarkStart w:id="2" w:name="_Toc388561188"/>
      <w:r w:rsidRPr="00932562">
        <w:rPr>
          <w:rFonts w:ascii="Arial" w:eastAsia="Times New Roman" w:hAnsi="Arial"/>
          <w:b/>
          <w:smallCaps/>
          <w:kern w:val="28"/>
          <w:sz w:val="28"/>
          <w:szCs w:val="20"/>
          <w:lang w:val="en-GB"/>
        </w:rPr>
        <w:t>I/N Threshold vs Link Performance Assessment</w:t>
      </w:r>
      <w:bookmarkEnd w:id="2"/>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approach taken in JTG 4-5-6-7 is a safety first method that is suited to identifying ‘potential’ interference cases and works against the goal of spectrum sharing and spectral efficiency. It takes a universal I/N threshold and applies this to all satellite services currently offered in </w:t>
      </w:r>
      <w:r w:rsidR="00FE359C" w:rsidRPr="00932562">
        <w:rPr>
          <w:rFonts w:eastAsia="Times New Roman"/>
          <w:sz w:val="22"/>
          <w:szCs w:val="20"/>
          <w:lang w:val="en-GB"/>
        </w:rPr>
        <w:t>C</w:t>
      </w:r>
      <w:r w:rsidRPr="00932562">
        <w:rPr>
          <w:rFonts w:eastAsia="Times New Roman"/>
          <w:sz w:val="22"/>
          <w:szCs w:val="20"/>
          <w:lang w:val="en-GB"/>
        </w:rPr>
        <w:t>-band</w:t>
      </w:r>
      <w:r w:rsidR="00FE359C" w:rsidRPr="00932562">
        <w:rPr>
          <w:rFonts w:eastAsia="Times New Roman"/>
          <w:sz w:val="22"/>
          <w:szCs w:val="20"/>
          <w:lang w:val="en-GB"/>
        </w:rPr>
        <w:t xml:space="preserve"> (including TV reception as well as FSS)</w:t>
      </w:r>
      <w:r w:rsidRPr="00932562">
        <w:rPr>
          <w:rFonts w:eastAsia="Times New Roman"/>
          <w:sz w:val="22"/>
          <w:szCs w:val="20"/>
          <w:lang w:val="en-GB"/>
        </w:rPr>
        <w:t>. As the I/N threshold has to cover all services and all deployments it means that if there is only one case where sharing is not possible, all options are closed.</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In satellite coordination it has long been acknowledged that I/N thresholds – universally applied – is not an efficient way to manage the regulatory environment for spectrum sharing. In the I/N methodology of JTG 4-5-6-7 there is little distinction between large dishes requiring very high a availability and small dishes, ubiquitously installed that may not need 99.999% availability.</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A more practical approach is to look at the specific services and to assess how their performance could be affected by the introduction of certain types of IMT networks. In this paper we are looking at the DVB-S2 standard for video, used for digital TV via satellite.</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In this standard there are number of options for modulation that lead to different requirements for carrier to noise ratios. The reference link budget we will use is discussed in the section below.</w:t>
      </w:r>
    </w:p>
    <w:p w:rsidR="00624DA4" w:rsidRPr="00932562" w:rsidRDefault="00624DA4" w:rsidP="00741138">
      <w:pPr>
        <w:keepNext/>
        <w:numPr>
          <w:ilvl w:val="1"/>
          <w:numId w:val="0"/>
        </w:numPr>
        <w:tabs>
          <w:tab w:val="num" w:pos="576"/>
        </w:tabs>
        <w:spacing w:before="240" w:after="60"/>
        <w:outlineLvl w:val="1"/>
        <w:rPr>
          <w:rFonts w:ascii="Arial" w:eastAsia="Times New Roman" w:hAnsi="Arial"/>
          <w:b/>
          <w:szCs w:val="20"/>
          <w:lang w:val="en-GB"/>
        </w:rPr>
      </w:pPr>
      <w:bookmarkStart w:id="3" w:name="_Toc388561189"/>
      <w:r w:rsidRPr="00932562">
        <w:rPr>
          <w:rFonts w:ascii="Arial" w:eastAsia="Times New Roman" w:hAnsi="Arial"/>
          <w:b/>
          <w:szCs w:val="20"/>
          <w:lang w:val="en-GB"/>
        </w:rPr>
        <w:t>2.1 Satellite Link Budget</w:t>
      </w:r>
      <w:bookmarkEnd w:id="3"/>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Vinasat at 132° East provides DVB-S2 based services in the 3400-3600 MHz band using 8-PSK with H-264 MPEG 4 video compression. Assuming a 2/3 FEC rate this system requires 6.6 dB signal-to-noise ratio. [Ref 1]</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coverage of this satellite is illustrated in the figure below</w:t>
      </w:r>
    </w:p>
    <w:p w:rsidR="00624DA4" w:rsidRPr="00932562" w:rsidRDefault="00624DA4" w:rsidP="00624DA4">
      <w:pPr>
        <w:spacing w:after="120"/>
        <w:ind w:left="624"/>
        <w:jc w:val="center"/>
        <w:rPr>
          <w:rFonts w:eastAsia="Times New Roman"/>
          <w:sz w:val="22"/>
          <w:szCs w:val="20"/>
          <w:lang w:val="en-GB"/>
        </w:rPr>
      </w:pPr>
      <w:r w:rsidRPr="00932562">
        <w:rPr>
          <w:rFonts w:eastAsia="Times New Roman"/>
          <w:noProof/>
          <w:sz w:val="22"/>
          <w:szCs w:val="20"/>
        </w:rPr>
        <w:lastRenderedPageBreak/>
        <w:drawing>
          <wp:inline distT="0" distB="0" distL="0" distR="0" wp14:anchorId="209D933B" wp14:editId="58260A56">
            <wp:extent cx="3914775" cy="3343275"/>
            <wp:effectExtent l="0" t="0" r="9525" b="9525"/>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3343275"/>
                    </a:xfrm>
                    <a:prstGeom prst="rect">
                      <a:avLst/>
                    </a:prstGeom>
                    <a:noFill/>
                    <a:ln>
                      <a:noFill/>
                    </a:ln>
                  </pic:spPr>
                </pic:pic>
              </a:graphicData>
            </a:graphic>
          </wp:inline>
        </w:drawing>
      </w:r>
    </w:p>
    <w:p w:rsidR="00624DA4" w:rsidRPr="00932562" w:rsidRDefault="00624DA4" w:rsidP="00624DA4">
      <w:pPr>
        <w:spacing w:before="120" w:after="120"/>
        <w:jc w:val="center"/>
        <w:rPr>
          <w:rFonts w:eastAsia="Batang"/>
          <w:b/>
          <w:sz w:val="22"/>
          <w:szCs w:val="20"/>
          <w:lang w:val="en-GB" w:bidi="th-TH"/>
        </w:rPr>
      </w:pPr>
      <w:r w:rsidRPr="00932562">
        <w:rPr>
          <w:rFonts w:eastAsia="Batang"/>
          <w:b/>
          <w:sz w:val="22"/>
          <w:szCs w:val="20"/>
          <w:lang w:val="en-GB" w:bidi="th-TH"/>
        </w:rPr>
        <w:t xml:space="preserve">Figure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Figure \* ARABIC </w:instrText>
      </w:r>
      <w:r w:rsidRPr="00932562">
        <w:rPr>
          <w:rFonts w:eastAsia="Batang"/>
          <w:b/>
          <w:sz w:val="22"/>
          <w:szCs w:val="20"/>
          <w:lang w:val="en-GB" w:bidi="th-TH"/>
        </w:rPr>
        <w:fldChar w:fldCharType="separate"/>
      </w:r>
      <w:r w:rsidR="00BE0504">
        <w:rPr>
          <w:rFonts w:eastAsia="Batang"/>
          <w:b/>
          <w:noProof/>
          <w:sz w:val="22"/>
          <w:szCs w:val="20"/>
          <w:lang w:val="en-GB" w:bidi="th-TH"/>
        </w:rPr>
        <w:t>2</w:t>
      </w:r>
      <w:r w:rsidRPr="00932562">
        <w:rPr>
          <w:rFonts w:eastAsia="Batang"/>
          <w:b/>
          <w:sz w:val="22"/>
          <w:szCs w:val="20"/>
          <w:lang w:val="en-GB" w:bidi="th-TH"/>
        </w:rPr>
        <w:fldChar w:fldCharType="end"/>
      </w:r>
      <w:r w:rsidRPr="00932562">
        <w:rPr>
          <w:rFonts w:eastAsia="Batang"/>
          <w:b/>
          <w:sz w:val="22"/>
          <w:szCs w:val="20"/>
          <w:lang w:val="en-GB" w:bidi="th-TH"/>
        </w:rPr>
        <w:t xml:space="preserve"> – Vinasat C-band downlink coverage: -1 dB, -2 dB and -3 dB contours are shown</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In this band the ITU-R filing indicates that the satellite has a maximum power density in a 36 MHz channel of -64.8 dBW/Hz. This equates to a maximum power of 10.7 </w:t>
      </w:r>
      <w:r w:rsidR="00FE359C" w:rsidRPr="00932562">
        <w:rPr>
          <w:rFonts w:eastAsia="Times New Roman"/>
          <w:sz w:val="22"/>
          <w:szCs w:val="20"/>
          <w:lang w:val="en-GB"/>
        </w:rPr>
        <w:t xml:space="preserve">dBW </w:t>
      </w:r>
      <w:r w:rsidRPr="00932562">
        <w:rPr>
          <w:rFonts w:eastAsia="Times New Roman"/>
          <w:sz w:val="22"/>
          <w:szCs w:val="20"/>
          <w:lang w:val="en-GB"/>
        </w:rPr>
        <w:t>or an EIRP of 47.7 dBW in 36 MHz. Other channels have comparable power densities.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A typical G/T of 14 dB together with peak receive gain of 34 dBi implies a system temperature of 110K (clear sky)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A simple link budget, in the absence of interference can be derived as below for an availability of 99.8% </w:t>
      </w:r>
    </w:p>
    <w:tbl>
      <w:tblPr>
        <w:tblStyle w:val="TableGrid2"/>
        <w:tblW w:w="0" w:type="auto"/>
        <w:tblInd w:w="1407" w:type="dxa"/>
        <w:tblLook w:val="04A0" w:firstRow="1" w:lastRow="0" w:firstColumn="1" w:lastColumn="0" w:noHBand="0" w:noVBand="1"/>
      </w:tblPr>
      <w:tblGrid>
        <w:gridCol w:w="2570"/>
        <w:gridCol w:w="1751"/>
        <w:gridCol w:w="1170"/>
      </w:tblGrid>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DVB-S2 downlink .Link Calculation</w:t>
            </w:r>
          </w:p>
        </w:tc>
        <w:tc>
          <w:tcPr>
            <w:tcW w:w="1751"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c>
          <w:tcPr>
            <w:tcW w:w="1751"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c>
          <w:tcPr>
            <w:tcW w:w="1170"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Frequency</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3.5</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GHz</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Carrier</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36M</w:t>
            </w:r>
          </w:p>
        </w:tc>
        <w:tc>
          <w:tcPr>
            <w:tcW w:w="1170"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Frequency Source</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User specified</w:t>
            </w:r>
          </w:p>
        </w:tc>
        <w:tc>
          <w:tcPr>
            <w:tcW w:w="1170"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Lines/>
              <w:jc w:val="both"/>
              <w:rPr>
                <w:rFonts w:eastAsia="Times New Roman"/>
                <w:sz w:val="20"/>
                <w:szCs w:val="20"/>
              </w:rPr>
            </w:pP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Bandwidth</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36.0</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MHz</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Transmit Power</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10.7</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Transmit Peak Gain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37.0</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dBi</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Transmit Relative Gain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-0.857906</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Path Loss</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194.72746</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Freespace</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194.679618</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676 dry</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0.043284</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676 water</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0.004509</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618 rain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0.000049</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Receive Peak Gain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34.174688</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dBi</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Receive Relative Gain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0.0</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Receive Feeder Loss</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0.0</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lastRenderedPageBreak/>
              <w:t xml:space="preserve">  C (signal strength)</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-113.710678</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-130.732405</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w:t>
            </w:r>
          </w:p>
        </w:tc>
      </w:tr>
      <w:tr w:rsidR="00624DA4" w:rsidRPr="00932562" w:rsidTr="00624DA4">
        <w:tc>
          <w:tcPr>
            <w:tcW w:w="25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 xml:space="preserve">  C/N</w:t>
            </w:r>
          </w:p>
        </w:tc>
        <w:tc>
          <w:tcPr>
            <w:tcW w:w="1751"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17.021728</w:t>
            </w:r>
          </w:p>
        </w:tc>
        <w:tc>
          <w:tcPr>
            <w:tcW w:w="117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Lines/>
              <w:jc w:val="both"/>
              <w:rPr>
                <w:rFonts w:eastAsia="Times New Roman"/>
                <w:sz w:val="20"/>
                <w:szCs w:val="20"/>
              </w:rPr>
            </w:pPr>
            <w:r w:rsidRPr="00932562">
              <w:rPr>
                <w:rFonts w:eastAsia="Times New Roman"/>
                <w:sz w:val="20"/>
                <w:szCs w:val="20"/>
              </w:rPr>
              <w:t>dB</w:t>
            </w:r>
          </w:p>
        </w:tc>
      </w:tr>
    </w:tbl>
    <w:p w:rsidR="00624DA4" w:rsidRPr="00932562" w:rsidRDefault="00624DA4" w:rsidP="00624DA4">
      <w:pPr>
        <w:spacing w:before="120" w:after="120"/>
        <w:jc w:val="center"/>
        <w:rPr>
          <w:rFonts w:eastAsia="Batang"/>
          <w:b/>
          <w:sz w:val="22"/>
          <w:szCs w:val="20"/>
          <w:lang w:val="en-GB" w:bidi="th-TH"/>
        </w:rPr>
      </w:pPr>
      <w:bookmarkStart w:id="4" w:name="_Ref388454816"/>
      <w:r w:rsidRPr="00932562">
        <w:rPr>
          <w:rFonts w:eastAsia="Batang"/>
          <w:b/>
          <w:sz w:val="22"/>
          <w:szCs w:val="20"/>
          <w:lang w:val="en-GB" w:bidi="th-TH"/>
        </w:rPr>
        <w:t xml:space="preserve">Table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Table \* ARABIC </w:instrText>
      </w:r>
      <w:r w:rsidRPr="00932562">
        <w:rPr>
          <w:rFonts w:eastAsia="Batang"/>
          <w:b/>
          <w:sz w:val="22"/>
          <w:szCs w:val="20"/>
          <w:lang w:val="en-GB" w:bidi="th-TH"/>
        </w:rPr>
        <w:fldChar w:fldCharType="separate"/>
      </w:r>
      <w:r w:rsidR="00BE0504">
        <w:rPr>
          <w:rFonts w:eastAsia="Batang"/>
          <w:b/>
          <w:noProof/>
          <w:sz w:val="22"/>
          <w:szCs w:val="20"/>
          <w:lang w:val="en-GB" w:bidi="th-TH"/>
        </w:rPr>
        <w:t>1</w:t>
      </w:r>
      <w:r w:rsidRPr="00932562">
        <w:rPr>
          <w:rFonts w:eastAsia="Batang"/>
          <w:b/>
          <w:sz w:val="22"/>
          <w:szCs w:val="20"/>
          <w:lang w:val="en-GB" w:bidi="th-TH"/>
        </w:rPr>
        <w:fldChar w:fldCharType="end"/>
      </w:r>
      <w:bookmarkEnd w:id="4"/>
      <w:r w:rsidRPr="00932562">
        <w:rPr>
          <w:rFonts w:eastAsia="Batang"/>
          <w:b/>
          <w:sz w:val="22"/>
          <w:szCs w:val="20"/>
          <w:lang w:val="en-GB" w:bidi="th-TH"/>
        </w:rPr>
        <w:t xml:space="preserve"> – Simple Link Budget for Vinasat DVB-S2 downlink to a test point in Vietnam</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Note that the achieved C/N is more than 10 dB better than the ratio required by the DVB-S2 service. This is a sensible and significant margin and of course is subject to degradation from the theoretical value in real systems. </w:t>
      </w:r>
    </w:p>
    <w:p w:rsidR="00624DA4" w:rsidRPr="00932562" w:rsidRDefault="00624DA4">
      <w:pPr>
        <w:spacing w:after="120"/>
        <w:ind w:left="624"/>
        <w:jc w:val="both"/>
        <w:rPr>
          <w:rFonts w:eastAsia="Times New Roman"/>
          <w:sz w:val="22"/>
          <w:szCs w:val="20"/>
          <w:lang w:val="en-GB"/>
        </w:rPr>
      </w:pPr>
      <w:r w:rsidRPr="00932562">
        <w:rPr>
          <w:rFonts w:eastAsia="Times New Roman"/>
          <w:sz w:val="22"/>
          <w:szCs w:val="20"/>
          <w:lang w:val="en-GB"/>
        </w:rPr>
        <w:t>In the next section we consider how much of this margin could be available, within the scope of national spectrum management, to potential interference from IMT.</w:t>
      </w:r>
    </w:p>
    <w:p w:rsidR="00624DA4" w:rsidRPr="00932562" w:rsidRDefault="00624DA4" w:rsidP="00741138">
      <w:pPr>
        <w:keepNext/>
        <w:numPr>
          <w:ilvl w:val="1"/>
          <w:numId w:val="0"/>
        </w:numPr>
        <w:tabs>
          <w:tab w:val="num" w:pos="576"/>
        </w:tabs>
        <w:spacing w:before="240" w:after="60"/>
        <w:outlineLvl w:val="1"/>
        <w:rPr>
          <w:rFonts w:ascii="Arial" w:eastAsia="Times New Roman" w:hAnsi="Arial"/>
          <w:b/>
          <w:szCs w:val="20"/>
          <w:lang w:val="en-GB"/>
        </w:rPr>
      </w:pPr>
      <w:bookmarkStart w:id="5" w:name="_Toc388561190"/>
      <w:r w:rsidRPr="00932562">
        <w:rPr>
          <w:rFonts w:ascii="Arial" w:eastAsia="Times New Roman" w:hAnsi="Arial"/>
          <w:b/>
          <w:szCs w:val="20"/>
          <w:lang w:val="en-GB"/>
        </w:rPr>
        <w:t>2.2 Allowance for Interference and the derivation of a C/I Target</w:t>
      </w:r>
      <w:bookmarkEnd w:id="5"/>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C-band FSS network needs some margin to allow for various link impairments. In theory, when these impairments are allowed for, the remaining margin could all be used to accommodate interference from IMT</w:t>
      </w:r>
      <w:r w:rsidR="00FE359C" w:rsidRPr="00932562">
        <w:rPr>
          <w:rFonts w:eastAsia="Times New Roman"/>
          <w:sz w:val="22"/>
          <w:szCs w:val="20"/>
          <w:lang w:val="en-GB"/>
        </w:rPr>
        <w:t>, although</w:t>
      </w:r>
      <w:r w:rsidRPr="00932562">
        <w:rPr>
          <w:rFonts w:eastAsia="Times New Roman"/>
          <w:sz w:val="22"/>
          <w:szCs w:val="20"/>
          <w:lang w:val="en-GB"/>
        </w:rPr>
        <w:t xml:space="preserve"> it would be reasonable to leave some margin in the link.</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In planning a satellite link, the engineer would normally take into account impairments from the following sources </w:t>
      </w:r>
    </w:p>
    <w:p w:rsidR="00624DA4" w:rsidRPr="00932562" w:rsidRDefault="00624DA4" w:rsidP="00624DA4">
      <w:pPr>
        <w:numPr>
          <w:ilvl w:val="0"/>
          <w:numId w:val="12"/>
        </w:numPr>
        <w:spacing w:after="120"/>
        <w:jc w:val="both"/>
        <w:rPr>
          <w:rFonts w:eastAsia="Times New Roman"/>
          <w:sz w:val="22"/>
          <w:szCs w:val="20"/>
          <w:lang w:val="en-GB"/>
        </w:rPr>
      </w:pPr>
      <w:r w:rsidRPr="00932562">
        <w:rPr>
          <w:rFonts w:eastAsia="Times New Roman"/>
          <w:sz w:val="22"/>
          <w:szCs w:val="20"/>
          <w:lang w:val="en-GB"/>
        </w:rPr>
        <w:t>Intra systems adjacent channel interference</w:t>
      </w:r>
    </w:p>
    <w:p w:rsidR="00624DA4" w:rsidRPr="00932562" w:rsidRDefault="00624DA4" w:rsidP="00624DA4">
      <w:pPr>
        <w:numPr>
          <w:ilvl w:val="0"/>
          <w:numId w:val="12"/>
        </w:numPr>
        <w:spacing w:after="120"/>
        <w:jc w:val="both"/>
        <w:rPr>
          <w:rFonts w:eastAsia="Times New Roman"/>
          <w:sz w:val="22"/>
          <w:szCs w:val="20"/>
          <w:lang w:val="en-GB"/>
        </w:rPr>
      </w:pPr>
      <w:r w:rsidRPr="00932562">
        <w:rPr>
          <w:rFonts w:eastAsia="Times New Roman"/>
          <w:sz w:val="22"/>
          <w:szCs w:val="20"/>
          <w:lang w:val="en-GB"/>
        </w:rPr>
        <w:t xml:space="preserve">Intermodulation products </w:t>
      </w:r>
    </w:p>
    <w:p w:rsidR="00624DA4" w:rsidRPr="00932562" w:rsidRDefault="00624DA4" w:rsidP="00624DA4">
      <w:pPr>
        <w:numPr>
          <w:ilvl w:val="0"/>
          <w:numId w:val="12"/>
        </w:numPr>
        <w:spacing w:after="120"/>
        <w:jc w:val="both"/>
        <w:rPr>
          <w:rFonts w:eastAsia="Times New Roman"/>
          <w:sz w:val="22"/>
          <w:szCs w:val="20"/>
          <w:lang w:val="en-GB"/>
        </w:rPr>
      </w:pPr>
      <w:r w:rsidRPr="00932562">
        <w:rPr>
          <w:rFonts w:eastAsia="Times New Roman"/>
          <w:sz w:val="22"/>
          <w:szCs w:val="20"/>
          <w:lang w:val="en-GB"/>
        </w:rPr>
        <w:t xml:space="preserve">Adjacent FSS satellite interference </w:t>
      </w:r>
    </w:p>
    <w:p w:rsidR="00624DA4" w:rsidRPr="00932562" w:rsidRDefault="00624DA4" w:rsidP="00624DA4">
      <w:pPr>
        <w:numPr>
          <w:ilvl w:val="0"/>
          <w:numId w:val="12"/>
        </w:numPr>
        <w:spacing w:after="120"/>
        <w:jc w:val="both"/>
        <w:rPr>
          <w:rFonts w:eastAsia="Times New Roman"/>
          <w:sz w:val="22"/>
          <w:szCs w:val="20"/>
          <w:lang w:val="en-GB"/>
        </w:rPr>
      </w:pPr>
      <w:r w:rsidRPr="00932562">
        <w:rPr>
          <w:rFonts w:eastAsia="Times New Roman"/>
          <w:sz w:val="22"/>
          <w:szCs w:val="20"/>
          <w:lang w:val="en-GB"/>
        </w:rPr>
        <w:t xml:space="preserve">Interference from other services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These factors are accounted for by expressing their allowance as a ratio, C/X. These can then be used to calculate an impaired C/N+I, starting from the known carrier level and the un-impaired C/N from </w:t>
      </w:r>
      <w:r w:rsidRPr="00932562">
        <w:rPr>
          <w:rFonts w:eastAsia="Times New Roman"/>
          <w:sz w:val="22"/>
          <w:szCs w:val="20"/>
          <w:lang w:val="en-GB"/>
        </w:rPr>
        <w:fldChar w:fldCharType="begin"/>
      </w:r>
      <w:r w:rsidRPr="00932562">
        <w:rPr>
          <w:rFonts w:eastAsia="Times New Roman"/>
          <w:sz w:val="22"/>
          <w:szCs w:val="20"/>
          <w:lang w:val="en-GB"/>
        </w:rPr>
        <w:instrText xml:space="preserve"> REF _Ref388454816 \h </w:instrText>
      </w:r>
      <w:r w:rsidRPr="00932562">
        <w:rPr>
          <w:rFonts w:eastAsia="Times New Roman"/>
          <w:sz w:val="22"/>
          <w:szCs w:val="20"/>
          <w:lang w:val="en-GB"/>
        </w:rPr>
      </w:r>
      <w:r w:rsidRPr="00932562">
        <w:rPr>
          <w:rFonts w:eastAsia="Times New Roman"/>
          <w:sz w:val="22"/>
          <w:szCs w:val="20"/>
          <w:lang w:val="en-GB"/>
        </w:rPr>
        <w:fldChar w:fldCharType="separate"/>
      </w:r>
      <w:r w:rsidR="00BE0504" w:rsidRPr="00932562">
        <w:rPr>
          <w:rFonts w:eastAsia="Batang"/>
          <w:b/>
          <w:sz w:val="22"/>
          <w:szCs w:val="20"/>
          <w:lang w:val="en-GB" w:bidi="th-TH"/>
        </w:rPr>
        <w:t xml:space="preserve">Table </w:t>
      </w:r>
      <w:r w:rsidR="00BE0504">
        <w:rPr>
          <w:rFonts w:eastAsia="Batang"/>
          <w:b/>
          <w:noProof/>
          <w:sz w:val="22"/>
          <w:szCs w:val="20"/>
          <w:lang w:val="en-GB" w:bidi="th-TH"/>
        </w:rPr>
        <w:t>1</w:t>
      </w:r>
      <w:r w:rsidRPr="00932562">
        <w:rPr>
          <w:rFonts w:eastAsia="Times New Roman"/>
          <w:sz w:val="22"/>
          <w:szCs w:val="20"/>
          <w:lang w:val="en-GB"/>
        </w:rPr>
        <w:fldChar w:fldCharType="end"/>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Our proposed values for the allowances are:</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In satellite coordination a C/I</w:t>
      </w:r>
      <w:r w:rsidRPr="00932562">
        <w:rPr>
          <w:rFonts w:eastAsia="Times New Roman"/>
          <w:sz w:val="22"/>
          <w:szCs w:val="20"/>
          <w:vertAlign w:val="subscript"/>
          <w:lang w:val="en-GB"/>
        </w:rPr>
        <w:t>ASI</w:t>
      </w:r>
      <w:r w:rsidRPr="00932562">
        <w:rPr>
          <w:rFonts w:eastAsia="Times New Roman"/>
          <w:sz w:val="22"/>
          <w:szCs w:val="20"/>
          <w:lang w:val="en-GB"/>
        </w:rPr>
        <w:t xml:space="preserve"> target of 22.2 dB is common and achievable for adjacent satellites at 2-3° separation. This </w:t>
      </w:r>
      <w:r w:rsidR="00E04BEC" w:rsidRPr="00932562">
        <w:rPr>
          <w:rFonts w:eastAsia="Times New Roman"/>
          <w:sz w:val="22"/>
          <w:szCs w:val="20"/>
          <w:lang w:val="en-GB"/>
        </w:rPr>
        <w:t xml:space="preserve">is </w:t>
      </w:r>
      <w:r w:rsidRPr="00932562">
        <w:rPr>
          <w:rFonts w:eastAsia="Times New Roman"/>
          <w:sz w:val="22"/>
          <w:szCs w:val="20"/>
          <w:lang w:val="en-GB"/>
        </w:rPr>
        <w:t>the single entry value and in a crowded geostationary orbit it is usual to assume that there will be a satellite on each side of the wanted system contributing a similar amount of interference. There will also be many more satellites but at widely separated locations each contributing significantly lower interference.</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A simple approach is to allow for 2.5 interferers at the C/I level of 22.2 dB</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For interference from other sources (terrestrial microwave for example) we would normally expect the allowance to be smaller than that from FSS, but if we take the conservative assumption that it is the same, our link budget should be a safe one.</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For adjacent channel and intermodulation we will use values for C/I of 30 dB.</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In JTG 4-5-6-7, the maximum long term interference from IMT is limited to an I/N of -13 dB. Theoretically, if the IMT interference could use the remaining margin in the DVB-S2 link budget (</w:t>
      </w:r>
      <w:r w:rsidRPr="00932562">
        <w:rPr>
          <w:rFonts w:eastAsia="Times New Roman"/>
          <w:sz w:val="22"/>
          <w:szCs w:val="20"/>
          <w:lang w:val="en-GB"/>
        </w:rPr>
        <w:fldChar w:fldCharType="begin"/>
      </w:r>
      <w:r w:rsidRPr="00932562">
        <w:rPr>
          <w:rFonts w:eastAsia="Times New Roman"/>
          <w:sz w:val="22"/>
          <w:szCs w:val="20"/>
          <w:lang w:val="en-GB"/>
        </w:rPr>
        <w:instrText xml:space="preserve"> REF _Ref388562303 \h </w:instrText>
      </w:r>
      <w:r w:rsidRPr="00932562">
        <w:rPr>
          <w:rFonts w:eastAsia="Times New Roman"/>
          <w:sz w:val="22"/>
          <w:szCs w:val="20"/>
          <w:lang w:val="en-GB"/>
        </w:rPr>
      </w:r>
      <w:r w:rsidRPr="00932562">
        <w:rPr>
          <w:rFonts w:eastAsia="Times New Roman"/>
          <w:sz w:val="22"/>
          <w:szCs w:val="20"/>
          <w:lang w:val="en-GB"/>
        </w:rPr>
        <w:fldChar w:fldCharType="separate"/>
      </w:r>
      <w:r w:rsidR="00BE0504" w:rsidRPr="00932562">
        <w:rPr>
          <w:rFonts w:eastAsia="Batang"/>
          <w:b/>
          <w:sz w:val="22"/>
          <w:szCs w:val="20"/>
          <w:lang w:val="en-GB" w:bidi="th-TH"/>
        </w:rPr>
        <w:t xml:space="preserve">Table </w:t>
      </w:r>
      <w:r w:rsidR="00BE0504">
        <w:rPr>
          <w:rFonts w:eastAsia="Batang"/>
          <w:b/>
          <w:noProof/>
          <w:sz w:val="22"/>
          <w:szCs w:val="20"/>
          <w:lang w:val="en-GB" w:bidi="th-TH"/>
        </w:rPr>
        <w:t>2</w:t>
      </w:r>
      <w:r w:rsidRPr="00932562">
        <w:rPr>
          <w:rFonts w:eastAsia="Times New Roman"/>
          <w:sz w:val="22"/>
          <w:szCs w:val="20"/>
          <w:lang w:val="en-GB"/>
        </w:rPr>
        <w:fldChar w:fldCharType="end"/>
      </w:r>
      <w:r w:rsidRPr="00932562">
        <w:rPr>
          <w:rFonts w:eastAsia="Times New Roman"/>
          <w:sz w:val="22"/>
          <w:szCs w:val="20"/>
          <w:lang w:val="en-GB"/>
        </w:rPr>
        <w:t>) the I</w:t>
      </w:r>
      <w:r w:rsidRPr="00932562">
        <w:rPr>
          <w:rFonts w:eastAsia="Times New Roman"/>
          <w:sz w:val="22"/>
          <w:szCs w:val="20"/>
          <w:vertAlign w:val="subscript"/>
          <w:lang w:val="en-GB"/>
        </w:rPr>
        <w:t>IMT</w:t>
      </w:r>
      <w:r w:rsidRPr="00932562">
        <w:rPr>
          <w:rFonts w:eastAsia="Times New Roman"/>
          <w:sz w:val="22"/>
          <w:szCs w:val="20"/>
          <w:lang w:val="en-GB"/>
        </w:rPr>
        <w:t xml:space="preserve">/N could be as high as +8.7 dB. This is 21.7 dB higher than the JTG l as shown in long term threshold.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For good engineering reasons we will not use all this margin, allowing for a contingency, and consider a C/I</w:t>
      </w:r>
      <w:r w:rsidRPr="00932562">
        <w:rPr>
          <w:rFonts w:eastAsia="Times New Roman"/>
          <w:sz w:val="22"/>
          <w:szCs w:val="20"/>
          <w:vertAlign w:val="subscript"/>
          <w:lang w:val="en-GB"/>
        </w:rPr>
        <w:t>IMT</w:t>
      </w:r>
      <w:r w:rsidRPr="00932562">
        <w:rPr>
          <w:rFonts w:eastAsia="Times New Roman"/>
          <w:sz w:val="22"/>
          <w:szCs w:val="20"/>
          <w:lang w:val="en-GB"/>
        </w:rPr>
        <w:t xml:space="preserve"> target of 12 dB – corresponding to I/N of 5 dB, many dBs better than the JTG thresholds BUT still allowing the DVB-S2 link budget to close.</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This 12 dB C/I target is sensitive to all of the details discussed above and the type of service being model</w:t>
      </w:r>
      <w:r w:rsidR="0069705A" w:rsidRPr="00932562">
        <w:rPr>
          <w:rFonts w:eastAsia="Times New Roman"/>
          <w:sz w:val="22"/>
          <w:szCs w:val="20"/>
          <w:lang w:val="en-GB"/>
        </w:rPr>
        <w:t>led</w:t>
      </w:r>
      <w:r w:rsidRPr="00932562">
        <w:rPr>
          <w:rFonts w:eastAsia="Times New Roman"/>
          <w:sz w:val="22"/>
          <w:szCs w:val="20"/>
          <w:lang w:val="en-GB"/>
        </w:rPr>
        <w:t>. However we feel that, as the target that an administration would like to achieve when planning efficient spectrum sharing between these two systems, this is a typical value and can be safely used in an initial assessment.</w:t>
      </w:r>
    </w:p>
    <w:p w:rsidR="00624DA4" w:rsidRPr="00932562" w:rsidRDefault="00624DA4" w:rsidP="00624DA4">
      <w:pPr>
        <w:spacing w:after="120"/>
        <w:ind w:left="624"/>
        <w:jc w:val="both"/>
        <w:rPr>
          <w:rFonts w:eastAsia="Times New Roman"/>
          <w:sz w:val="22"/>
          <w:szCs w:val="20"/>
          <w:lang w:val="en-GB"/>
        </w:rPr>
      </w:pPr>
    </w:p>
    <w:tbl>
      <w:tblPr>
        <w:tblStyle w:val="TableGrid2"/>
        <w:tblW w:w="0" w:type="auto"/>
        <w:tblInd w:w="715" w:type="dxa"/>
        <w:tblLook w:val="04A0" w:firstRow="1" w:lastRow="0" w:firstColumn="1" w:lastColumn="0" w:noHBand="0" w:noVBand="1"/>
      </w:tblPr>
      <w:tblGrid>
        <w:gridCol w:w="4067"/>
        <w:gridCol w:w="2122"/>
        <w:gridCol w:w="1288"/>
      </w:tblGrid>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bCs/>
                <w:sz w:val="20"/>
                <w:szCs w:val="20"/>
              </w:rPr>
            </w:pPr>
            <w:r w:rsidRPr="00932562">
              <w:rPr>
                <w:rFonts w:eastAsia="Times New Roman"/>
                <w:bCs/>
                <w:sz w:val="20"/>
                <w:szCs w:val="20"/>
              </w:rPr>
              <w:lastRenderedPageBreak/>
              <w:t>Downlink DVB-S2 link budget</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 xml:space="preserve">Calculated carrier level (98.2% availability) </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-113.711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Noise temperature</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170</w:t>
            </w:r>
          </w:p>
        </w:tc>
        <w:tc>
          <w:tcPr>
            <w:tcW w:w="1288" w:type="dxa"/>
            <w:tcBorders>
              <w:top w:val="single" w:sz="4" w:space="0" w:color="auto"/>
              <w:left w:val="single" w:sz="4" w:space="0" w:color="auto"/>
              <w:bottom w:val="single" w:sz="4" w:space="0" w:color="auto"/>
              <w:right w:val="single" w:sz="4" w:space="0" w:color="auto"/>
            </w:tcBorders>
            <w:noWrap/>
          </w:tcPr>
          <w:p w:rsidR="00624DA4" w:rsidRPr="00932562" w:rsidRDefault="00624DA4" w:rsidP="00932562">
            <w:pPr>
              <w:keepLines/>
              <w:jc w:val="right"/>
              <w:rPr>
                <w:rFonts w:eastAsia="Times New Roman"/>
                <w:sz w:val="20"/>
                <w:szCs w:val="20"/>
              </w:rPr>
            </w:pPr>
            <w:r w:rsidRPr="00932562">
              <w:rPr>
                <w:rFonts w:eastAsia="Times New Roman"/>
                <w:sz w:val="20"/>
                <w:szCs w:val="20"/>
              </w:rPr>
              <w:t>K</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bandwidth</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36</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MHz</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Calculated Noise Value</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-130.73</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un-impaired C/N</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17.01956</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bCs/>
                <w:sz w:val="20"/>
                <w:szCs w:val="20"/>
              </w:rPr>
            </w:pPr>
            <w:r w:rsidRPr="00932562">
              <w:rPr>
                <w:rFonts w:eastAsia="Times New Roman"/>
                <w:bCs/>
                <w:sz w:val="20"/>
                <w:szCs w:val="20"/>
              </w:rPr>
              <w:t xml:space="preserve">Interference Allowances </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Adjacent satellite single entry C/I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22.2</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Calculated adjacent satellite 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-135.911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number of entries</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2.5</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 xml:space="preserve">Calculated Aggregate adjacent satellite I </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-131.931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Aggregate adjacent FSS C/I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18.2206</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Intra systems, adjacent channel C/I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30</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Calculated adjacent channel 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-121.139</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Carrier to intermodulation C/Im</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30</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 xml:space="preserve">Calculated IM interference </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-143.711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Other system C/I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18.2206</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Calculated other system I</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-131.931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total I from impairments other than IMT</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-126.551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Impaired C/N+I no IMT</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12.84072</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C/N+I Target</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6.6</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Margin</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6.240724</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Proposed IMT C/I</w:t>
            </w:r>
          </w:p>
        </w:tc>
        <w:tc>
          <w:tcPr>
            <w:tcW w:w="2122"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12</w:t>
            </w:r>
          </w:p>
        </w:tc>
        <w:tc>
          <w:tcPr>
            <w:tcW w:w="12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calculated I - IMT</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-125.711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dBW</w:t>
            </w: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total I including IMT</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-123.1</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 xml:space="preserve">C/N+I total </w:t>
            </w:r>
          </w:p>
        </w:tc>
        <w:tc>
          <w:tcPr>
            <w:tcW w:w="2122"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8.698284</w:t>
            </w:r>
          </w:p>
        </w:tc>
        <w:tc>
          <w:tcPr>
            <w:tcW w:w="1288" w:type="dxa"/>
            <w:tcBorders>
              <w:top w:val="single" w:sz="4" w:space="0" w:color="auto"/>
              <w:left w:val="single" w:sz="4" w:space="0" w:color="auto"/>
              <w:bottom w:val="single" w:sz="4" w:space="0" w:color="auto"/>
              <w:right w:val="single" w:sz="4" w:space="0" w:color="auto"/>
            </w:tcBorders>
            <w:noWrap/>
            <w:hideMark/>
          </w:tcPr>
          <w:p w:rsidR="00624DA4" w:rsidRPr="00932562" w:rsidRDefault="00624DA4" w:rsidP="00624DA4">
            <w:pPr>
              <w:rPr>
                <w:rFonts w:eastAsia="Times New Roman"/>
                <w:sz w:val="20"/>
                <w:szCs w:val="20"/>
              </w:rPr>
            </w:pPr>
          </w:p>
        </w:tc>
      </w:tr>
      <w:tr w:rsidR="00624DA4" w:rsidRPr="00932562" w:rsidTr="00624DA4">
        <w:trPr>
          <w:trHeight w:val="300"/>
        </w:trPr>
        <w:tc>
          <w:tcPr>
            <w:tcW w:w="4067"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margin</w:t>
            </w:r>
          </w:p>
        </w:tc>
        <w:tc>
          <w:tcPr>
            <w:tcW w:w="2122"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rsidR="00624DA4" w:rsidRPr="00932562" w:rsidRDefault="00624DA4" w:rsidP="00624DA4">
            <w:pPr>
              <w:keepLines/>
              <w:ind w:left="619"/>
              <w:jc w:val="both"/>
              <w:rPr>
                <w:rFonts w:eastAsia="Times New Roman"/>
                <w:sz w:val="20"/>
                <w:szCs w:val="20"/>
              </w:rPr>
            </w:pPr>
            <w:r w:rsidRPr="00932562">
              <w:rPr>
                <w:rFonts w:eastAsia="Times New Roman"/>
                <w:sz w:val="20"/>
                <w:szCs w:val="20"/>
              </w:rPr>
              <w:t>2.098284</w:t>
            </w:r>
          </w:p>
        </w:tc>
        <w:tc>
          <w:tcPr>
            <w:tcW w:w="12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rsidR="00624DA4" w:rsidRPr="00932562" w:rsidRDefault="00624DA4" w:rsidP="00624DA4">
            <w:pPr>
              <w:rPr>
                <w:rFonts w:eastAsia="Times New Roman"/>
                <w:sz w:val="20"/>
                <w:szCs w:val="20"/>
              </w:rPr>
            </w:pPr>
          </w:p>
        </w:tc>
      </w:tr>
    </w:tbl>
    <w:p w:rsidR="00624DA4" w:rsidRPr="00932562" w:rsidRDefault="00624DA4" w:rsidP="00624DA4">
      <w:pPr>
        <w:spacing w:before="120" w:after="120"/>
        <w:jc w:val="center"/>
        <w:rPr>
          <w:rFonts w:eastAsia="Batang"/>
          <w:b/>
          <w:sz w:val="22"/>
          <w:szCs w:val="20"/>
          <w:lang w:val="en-GB" w:bidi="th-TH"/>
        </w:rPr>
      </w:pPr>
      <w:bookmarkStart w:id="6" w:name="_Ref388562303"/>
      <w:r w:rsidRPr="00932562">
        <w:rPr>
          <w:rFonts w:eastAsia="Batang"/>
          <w:b/>
          <w:sz w:val="22"/>
          <w:szCs w:val="20"/>
          <w:lang w:val="en-GB" w:bidi="th-TH"/>
        </w:rPr>
        <w:t xml:space="preserve">Table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Table \* ARABIC </w:instrText>
      </w:r>
      <w:r w:rsidRPr="00932562">
        <w:rPr>
          <w:rFonts w:eastAsia="Batang"/>
          <w:b/>
          <w:sz w:val="22"/>
          <w:szCs w:val="20"/>
          <w:lang w:val="en-GB" w:bidi="th-TH"/>
        </w:rPr>
        <w:fldChar w:fldCharType="separate"/>
      </w:r>
      <w:r w:rsidR="00BE0504">
        <w:rPr>
          <w:rFonts w:eastAsia="Batang"/>
          <w:b/>
          <w:noProof/>
          <w:sz w:val="22"/>
          <w:szCs w:val="20"/>
          <w:lang w:val="en-GB" w:bidi="th-TH"/>
        </w:rPr>
        <w:t>2</w:t>
      </w:r>
      <w:r w:rsidRPr="00932562">
        <w:rPr>
          <w:rFonts w:eastAsia="Batang"/>
          <w:b/>
          <w:sz w:val="22"/>
          <w:szCs w:val="20"/>
          <w:lang w:val="en-GB" w:bidi="th-TH"/>
        </w:rPr>
        <w:fldChar w:fldCharType="end"/>
      </w:r>
      <w:bookmarkEnd w:id="6"/>
      <w:r w:rsidRPr="00932562">
        <w:rPr>
          <w:rFonts w:eastAsia="Batang"/>
          <w:b/>
          <w:sz w:val="22"/>
          <w:szCs w:val="20"/>
          <w:lang w:val="en-GB" w:bidi="th-TH"/>
        </w:rPr>
        <w:t xml:space="preserve"> – DVB-S2 downlink link budget and target for single entry C/I when sharing with an IMT network</w:t>
      </w:r>
    </w:p>
    <w:p w:rsidR="00624DA4" w:rsidRPr="00932562" w:rsidRDefault="007B6ACF" w:rsidP="00741138">
      <w:pPr>
        <w:keepNext/>
        <w:numPr>
          <w:ilvl w:val="1"/>
          <w:numId w:val="0"/>
        </w:numPr>
        <w:tabs>
          <w:tab w:val="num" w:pos="576"/>
        </w:tabs>
        <w:spacing w:before="240" w:after="60"/>
        <w:outlineLvl w:val="1"/>
        <w:rPr>
          <w:rFonts w:ascii="Arial" w:eastAsia="Times New Roman" w:hAnsi="Arial"/>
          <w:b/>
          <w:szCs w:val="20"/>
          <w:lang w:val="en-GB"/>
        </w:rPr>
      </w:pPr>
      <w:bookmarkStart w:id="7" w:name="_Toc388561191"/>
      <w:r w:rsidRPr="00932562">
        <w:rPr>
          <w:rFonts w:ascii="Arial" w:eastAsia="Times New Roman" w:hAnsi="Arial"/>
          <w:b/>
          <w:szCs w:val="20"/>
          <w:lang w:val="en-GB"/>
        </w:rPr>
        <w:lastRenderedPageBreak/>
        <w:t xml:space="preserve">2.3 </w:t>
      </w:r>
      <w:r w:rsidR="00624DA4" w:rsidRPr="00932562">
        <w:rPr>
          <w:rFonts w:ascii="Arial" w:eastAsia="Times New Roman" w:hAnsi="Arial"/>
          <w:b/>
          <w:szCs w:val="20"/>
          <w:lang w:val="en-GB"/>
        </w:rPr>
        <w:t>IMT Network Parameters</w:t>
      </w:r>
      <w:bookmarkEnd w:id="7"/>
      <w:r w:rsidR="00624DA4" w:rsidRPr="00932562">
        <w:rPr>
          <w:rFonts w:ascii="Arial" w:eastAsia="Times New Roman" w:hAnsi="Arial"/>
          <w:b/>
          <w:szCs w:val="20"/>
          <w:lang w:val="en-GB"/>
        </w:rPr>
        <w:t xml:space="preserve">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parameters for an outdoor </w:t>
      </w:r>
      <w:r w:rsidR="00BE0504">
        <w:rPr>
          <w:rFonts w:eastAsia="Times New Roman"/>
          <w:sz w:val="22"/>
          <w:szCs w:val="20"/>
          <w:lang w:val="en-GB"/>
        </w:rPr>
        <w:t>micro</w:t>
      </w:r>
      <w:r w:rsidRPr="00932562">
        <w:rPr>
          <w:rFonts w:eastAsia="Times New Roman"/>
          <w:sz w:val="22"/>
          <w:szCs w:val="20"/>
          <w:lang w:val="en-GB"/>
        </w:rPr>
        <w:t xml:space="preserve"> cell base station are summarised below. This is the type of system we would expect to be deployed in the scenario under consideration</w:t>
      </w:r>
    </w:p>
    <w:tbl>
      <w:tblPr>
        <w:tblStyle w:val="TableGrid52"/>
        <w:tblW w:w="8010" w:type="dxa"/>
        <w:tblInd w:w="625" w:type="dxa"/>
        <w:tblLayout w:type="fixed"/>
        <w:tblLook w:val="04A0" w:firstRow="1" w:lastRow="0" w:firstColumn="1" w:lastColumn="0" w:noHBand="0" w:noVBand="1"/>
      </w:tblPr>
      <w:tblGrid>
        <w:gridCol w:w="3420"/>
        <w:gridCol w:w="4590"/>
      </w:tblGrid>
      <w:tr w:rsidR="00624DA4" w:rsidRPr="00932562" w:rsidTr="00624DA4">
        <w:trPr>
          <w:cantSplit/>
          <w:trHeight w:val="421"/>
        </w:trPr>
        <w:tc>
          <w:tcPr>
            <w:tcW w:w="3420"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Times New Roman" w:hAnsi="Times New Roman Bold"/>
                <w:b/>
                <w:sz w:val="20"/>
                <w:szCs w:val="22"/>
                <w:lang w:val="en-GB"/>
              </w:rPr>
            </w:pP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Times New Roman" w:hAnsi="Times New Roman Bold"/>
                <w:b/>
                <w:sz w:val="20"/>
                <w:szCs w:val="22"/>
                <w:lang w:val="en-GB"/>
              </w:rPr>
            </w:pPr>
            <w:r w:rsidRPr="00932562">
              <w:rPr>
                <w:rFonts w:ascii="Times New Roman Bold" w:eastAsia="Times New Roman" w:hAnsi="Times New Roman Bold"/>
                <w:b/>
                <w:sz w:val="20"/>
                <w:szCs w:val="22"/>
                <w:lang w:val="en-GB"/>
              </w:rPr>
              <w:t xml:space="preserve"> </w:t>
            </w:r>
          </w:p>
        </w:tc>
      </w:tr>
      <w:tr w:rsidR="00624DA4" w:rsidRPr="00932562" w:rsidTr="00624DA4">
        <w:trPr>
          <w:cantSplit/>
          <w:trHeight w:val="421"/>
        </w:trPr>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Times New Roman" w:hAnsi="Times New Roman Bold"/>
                <w:b/>
                <w:sz w:val="20"/>
                <w:szCs w:val="22"/>
                <w:lang w:val="en-GB"/>
              </w:rPr>
            </w:pPr>
            <w:r w:rsidRPr="00932562">
              <w:rPr>
                <w:rFonts w:ascii="Times New Roman Bold" w:eastAsia="Times New Roman" w:hAnsi="Times New Roman Bold"/>
                <w:b/>
                <w:sz w:val="20"/>
                <w:szCs w:val="22"/>
                <w:lang w:val="en-GB"/>
              </w:rPr>
              <w:t>Base station characteristics / Cell structure</w:t>
            </w:r>
          </w:p>
        </w:t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24DA4" w:rsidRPr="00932562" w:rsidRDefault="00BE050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Times New Roman" w:hAnsi="Times New Roman Bold"/>
                <w:b/>
                <w:sz w:val="20"/>
                <w:szCs w:val="22"/>
                <w:lang w:val="en-GB"/>
              </w:rPr>
            </w:pPr>
            <w:r>
              <w:rPr>
                <w:rFonts w:ascii="Times New Roman Bold" w:eastAsia="Times New Roman" w:hAnsi="Times New Roman Bold"/>
                <w:b/>
                <w:sz w:val="20"/>
                <w:szCs w:val="22"/>
                <w:lang w:val="en-GB"/>
              </w:rPr>
              <w:t>Micro</w:t>
            </w:r>
            <w:r w:rsidR="00624DA4" w:rsidRPr="00932562">
              <w:rPr>
                <w:rFonts w:ascii="Times New Roman Bold" w:eastAsia="Times New Roman" w:hAnsi="Times New Roman Bold"/>
                <w:b/>
                <w:sz w:val="20"/>
                <w:szCs w:val="22"/>
                <w:lang w:val="en-GB"/>
              </w:rPr>
              <w:t xml:space="preserve"> cell outdoor / Micro urban</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Antenna height</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6 m</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Sectorization</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single sector</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Downtilt</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n.a.</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Antenna pattern</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highlight w:val="yellow"/>
                <w:lang w:val="en-GB"/>
              </w:rPr>
            </w:pPr>
            <w:r w:rsidRPr="00932562">
              <w:rPr>
                <w:rFonts w:eastAsia="Times New Roman"/>
                <w:sz w:val="20"/>
                <w:szCs w:val="22"/>
                <w:lang w:val="en-GB"/>
              </w:rPr>
              <w:t>omni</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Antenna polarization</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linear</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Below rooftop base station antenna deployment</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100 %</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Maximum base station output power (5/10/20 MHz)</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134" w:hanging="1134"/>
              <w:jc w:val="center"/>
              <w:rPr>
                <w:rFonts w:eastAsia="Times New Roman"/>
                <w:sz w:val="20"/>
                <w:szCs w:val="20"/>
                <w:lang w:val="en-GB"/>
              </w:rPr>
            </w:pPr>
            <w:r w:rsidRPr="00932562">
              <w:rPr>
                <w:rFonts w:eastAsia="Times New Roman"/>
                <w:sz w:val="20"/>
                <w:szCs w:val="22"/>
                <w:lang w:val="en-GB"/>
              </w:rPr>
              <w:t>35 dBm</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Maximum base station antenna gain</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5 dBi</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Maximum base station output power (EIRP)</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40 dBm</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highlight w:val="yellow"/>
                <w:lang w:val="en-GB"/>
              </w:rPr>
            </w:pPr>
            <w:r w:rsidRPr="00932562">
              <w:rPr>
                <w:rFonts w:eastAsia="Times New Roman"/>
                <w:sz w:val="20"/>
                <w:szCs w:val="22"/>
                <w:lang w:val="en-GB"/>
              </w:rPr>
              <w:t>Average base station activity</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highlight w:val="yellow"/>
                <w:lang w:val="en-GB"/>
              </w:rPr>
            </w:pPr>
            <w:r w:rsidRPr="00932562">
              <w:rPr>
                <w:rFonts w:eastAsia="Times New Roman"/>
                <w:sz w:val="20"/>
                <w:szCs w:val="22"/>
                <w:lang w:val="en-GB"/>
              </w:rPr>
              <w:t>50 %</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highlight w:val="yellow"/>
                <w:lang w:val="en-GB"/>
              </w:rPr>
            </w:pPr>
            <w:r w:rsidRPr="00932562">
              <w:rPr>
                <w:rFonts w:eastAsia="Times New Roman"/>
                <w:sz w:val="20"/>
                <w:szCs w:val="22"/>
                <w:lang w:val="en-GB"/>
              </w:rPr>
              <w:t xml:space="preserve">Average base station power/sector </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37 dBm</w:t>
            </w:r>
          </w:p>
        </w:tc>
      </w:tr>
      <w:tr w:rsidR="00624DA4" w:rsidRPr="00932562" w:rsidTr="00624DA4">
        <w:trPr>
          <w:cantSplit/>
          <w:trHeight w:val="20"/>
        </w:trPr>
        <w:tc>
          <w:tcPr>
            <w:tcW w:w="342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szCs w:val="22"/>
                <w:lang w:val="en-GB"/>
              </w:rPr>
            </w:pPr>
            <w:r w:rsidRPr="00932562">
              <w:rPr>
                <w:rFonts w:eastAsia="Times New Roman"/>
                <w:sz w:val="20"/>
                <w:szCs w:val="22"/>
                <w:lang w:val="en-GB"/>
              </w:rPr>
              <w:t>Channel Bandwidth used</w:t>
            </w:r>
          </w:p>
        </w:tc>
        <w:tc>
          <w:tcPr>
            <w:tcW w:w="4590"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szCs w:val="22"/>
                <w:lang w:val="en-GB"/>
              </w:rPr>
            </w:pPr>
            <w:r w:rsidRPr="00932562">
              <w:rPr>
                <w:rFonts w:eastAsia="Times New Roman"/>
                <w:sz w:val="20"/>
                <w:szCs w:val="22"/>
                <w:lang w:val="en-GB"/>
              </w:rPr>
              <w:t>10 M</w:t>
            </w:r>
            <w:r w:rsidR="0069705A" w:rsidRPr="00932562">
              <w:rPr>
                <w:rFonts w:eastAsia="Times New Roman"/>
                <w:sz w:val="20"/>
                <w:szCs w:val="22"/>
                <w:lang w:val="en-GB"/>
              </w:rPr>
              <w:t>H</w:t>
            </w:r>
            <w:r w:rsidRPr="00932562">
              <w:rPr>
                <w:rFonts w:eastAsia="Times New Roman"/>
                <w:sz w:val="20"/>
                <w:szCs w:val="22"/>
                <w:lang w:val="en-GB"/>
              </w:rPr>
              <w:t>z</w:t>
            </w:r>
          </w:p>
        </w:tc>
      </w:tr>
    </w:tbl>
    <w:p w:rsidR="00624DA4" w:rsidRPr="00932562" w:rsidRDefault="00624DA4" w:rsidP="00624DA4">
      <w:pPr>
        <w:spacing w:before="120" w:after="120"/>
        <w:jc w:val="center"/>
        <w:rPr>
          <w:rFonts w:eastAsia="Batang"/>
          <w:b/>
          <w:sz w:val="22"/>
          <w:szCs w:val="20"/>
          <w:lang w:val="en-GB" w:bidi="th-TH"/>
        </w:rPr>
      </w:pPr>
      <w:r w:rsidRPr="00932562">
        <w:rPr>
          <w:rFonts w:eastAsia="Batang"/>
          <w:b/>
          <w:sz w:val="22"/>
          <w:szCs w:val="20"/>
          <w:lang w:val="en-GB" w:bidi="th-TH"/>
        </w:rPr>
        <w:t xml:space="preserve">Table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Table \* ARABIC </w:instrText>
      </w:r>
      <w:r w:rsidRPr="00932562">
        <w:rPr>
          <w:rFonts w:eastAsia="Batang"/>
          <w:b/>
          <w:sz w:val="22"/>
          <w:szCs w:val="20"/>
          <w:lang w:val="en-GB" w:bidi="th-TH"/>
        </w:rPr>
        <w:fldChar w:fldCharType="separate"/>
      </w:r>
      <w:r w:rsidR="00BE0504">
        <w:rPr>
          <w:rFonts w:eastAsia="Batang"/>
          <w:b/>
          <w:noProof/>
          <w:sz w:val="22"/>
          <w:szCs w:val="20"/>
          <w:lang w:val="en-GB" w:bidi="th-TH"/>
        </w:rPr>
        <w:t>3</w:t>
      </w:r>
      <w:r w:rsidRPr="00932562">
        <w:rPr>
          <w:rFonts w:eastAsia="Batang"/>
          <w:b/>
          <w:sz w:val="22"/>
          <w:szCs w:val="20"/>
          <w:lang w:val="en-GB" w:bidi="th-TH"/>
        </w:rPr>
        <w:fldChar w:fldCharType="end"/>
      </w:r>
      <w:r w:rsidRPr="00932562">
        <w:rPr>
          <w:rFonts w:eastAsia="Batang"/>
          <w:b/>
          <w:sz w:val="22"/>
          <w:szCs w:val="20"/>
          <w:lang w:val="en-GB" w:bidi="th-TH"/>
        </w:rPr>
        <w:t xml:space="preserve"> – Parameters for the outdoor </w:t>
      </w:r>
      <w:r w:rsidR="00BE0504">
        <w:rPr>
          <w:rFonts w:eastAsia="Batang"/>
          <w:b/>
          <w:sz w:val="22"/>
          <w:szCs w:val="20"/>
          <w:lang w:val="en-GB" w:bidi="th-TH"/>
        </w:rPr>
        <w:t>micro</w:t>
      </w:r>
      <w:r w:rsidRPr="00932562">
        <w:rPr>
          <w:rFonts w:eastAsia="Batang"/>
          <w:b/>
          <w:sz w:val="22"/>
          <w:szCs w:val="20"/>
          <w:lang w:val="en-GB" w:bidi="th-TH"/>
        </w:rPr>
        <w:t xml:space="preserve"> cell IMT base station</w:t>
      </w:r>
    </w:p>
    <w:p w:rsidR="00624DA4" w:rsidRPr="00932562" w:rsidRDefault="00624DA4" w:rsidP="00624DA4">
      <w:pPr>
        <w:spacing w:after="120"/>
        <w:ind w:left="624"/>
        <w:jc w:val="both"/>
        <w:rPr>
          <w:rFonts w:eastAsia="Times New Roman"/>
          <w:sz w:val="22"/>
          <w:szCs w:val="20"/>
          <w:lang w:val="en-GB"/>
        </w:rPr>
      </w:pPr>
    </w:p>
    <w:p w:rsidR="00624DA4" w:rsidRPr="00932562" w:rsidRDefault="00624DA4" w:rsidP="00741138">
      <w:pPr>
        <w:pStyle w:val="ListParagraph"/>
        <w:keepNext/>
        <w:numPr>
          <w:ilvl w:val="0"/>
          <w:numId w:val="14"/>
        </w:numPr>
        <w:spacing w:before="120" w:after="120"/>
        <w:ind w:left="0" w:firstLine="0"/>
        <w:outlineLvl w:val="0"/>
        <w:rPr>
          <w:rFonts w:ascii="Arial" w:eastAsia="Times New Roman" w:hAnsi="Arial"/>
          <w:b/>
          <w:smallCaps/>
          <w:kern w:val="28"/>
          <w:sz w:val="28"/>
          <w:szCs w:val="20"/>
          <w:lang w:val="en-GB"/>
        </w:rPr>
      </w:pPr>
      <w:bookmarkStart w:id="8" w:name="_Ref389006983"/>
      <w:bookmarkStart w:id="9" w:name="_Toc388561192"/>
      <w:r w:rsidRPr="00932562">
        <w:rPr>
          <w:rFonts w:ascii="Arial" w:eastAsia="Times New Roman" w:hAnsi="Arial"/>
          <w:b/>
          <w:smallCaps/>
          <w:kern w:val="28"/>
          <w:sz w:val="28"/>
          <w:szCs w:val="20"/>
          <w:lang w:val="en-GB"/>
        </w:rPr>
        <w:t>Analysis Method</w:t>
      </w:r>
      <w:bookmarkEnd w:id="8"/>
      <w:bookmarkEnd w:id="9"/>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analysis proceeds by calculating the interference from a single </w:t>
      </w:r>
      <w:r w:rsidR="009E2173" w:rsidRPr="00932562">
        <w:rPr>
          <w:rFonts w:eastAsia="Times New Roman"/>
          <w:sz w:val="22"/>
          <w:szCs w:val="20"/>
          <w:lang w:val="en-GB"/>
        </w:rPr>
        <w:t xml:space="preserve">IMT </w:t>
      </w:r>
      <w:r w:rsidRPr="00932562">
        <w:rPr>
          <w:rFonts w:eastAsia="Times New Roman"/>
          <w:sz w:val="22"/>
          <w:szCs w:val="20"/>
          <w:lang w:val="en-GB"/>
        </w:rPr>
        <w:t xml:space="preserve">base station at maximum power into a theoretical test point at multiple locations on a grid around the city centre.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base station can be located anywhere within a ‘licensed’ area in the city centre and we calculated the interference from the least favourable location with</w:t>
      </w:r>
      <w:r w:rsidR="009E2173" w:rsidRPr="00932562">
        <w:rPr>
          <w:rFonts w:eastAsia="Times New Roman"/>
          <w:sz w:val="22"/>
          <w:szCs w:val="20"/>
          <w:lang w:val="en-GB"/>
        </w:rPr>
        <w:t>in</w:t>
      </w:r>
      <w:r w:rsidRPr="00932562">
        <w:rPr>
          <w:rFonts w:eastAsia="Times New Roman"/>
          <w:sz w:val="22"/>
          <w:szCs w:val="20"/>
          <w:lang w:val="en-GB"/>
        </w:rPr>
        <w:t xml:space="preserve"> the license area. The </w:t>
      </w:r>
      <w:r w:rsidR="009E2173" w:rsidRPr="00932562">
        <w:rPr>
          <w:rFonts w:eastAsia="Times New Roman"/>
          <w:sz w:val="22"/>
          <w:szCs w:val="20"/>
          <w:lang w:val="en-GB"/>
        </w:rPr>
        <w:t xml:space="preserve">license </w:t>
      </w:r>
      <w:r w:rsidRPr="00932562">
        <w:rPr>
          <w:rFonts w:eastAsia="Times New Roman"/>
          <w:sz w:val="22"/>
          <w:szCs w:val="20"/>
          <w:lang w:val="en-GB"/>
        </w:rPr>
        <w:t xml:space="preserve">area we have used is a circle </w:t>
      </w:r>
      <w:r w:rsidR="009E2173" w:rsidRPr="00932562">
        <w:rPr>
          <w:rFonts w:eastAsia="Times New Roman"/>
          <w:sz w:val="22"/>
          <w:szCs w:val="20"/>
          <w:lang w:val="en-GB"/>
        </w:rPr>
        <w:t xml:space="preserve">with 5 km radius around </w:t>
      </w:r>
      <w:r w:rsidRPr="00932562">
        <w:rPr>
          <w:rFonts w:eastAsia="Times New Roman"/>
          <w:sz w:val="22"/>
          <w:szCs w:val="20"/>
          <w:lang w:val="en-GB"/>
        </w:rPr>
        <w:t>the centre of the city.</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Having calculated the interference lev</w:t>
      </w:r>
      <w:r w:rsidR="00E04BEC" w:rsidRPr="00932562">
        <w:rPr>
          <w:rFonts w:eastAsia="Times New Roman"/>
          <w:sz w:val="22"/>
          <w:szCs w:val="20"/>
          <w:lang w:val="en-GB"/>
        </w:rPr>
        <w:t xml:space="preserve">el at each test point location </w:t>
      </w:r>
      <w:r w:rsidRPr="00932562">
        <w:rPr>
          <w:rFonts w:eastAsia="Times New Roman"/>
          <w:sz w:val="22"/>
          <w:szCs w:val="20"/>
          <w:lang w:val="en-GB"/>
        </w:rPr>
        <w:t xml:space="preserve">we derive the C/I level and the I/N level under JTG 4-5-6-7 assumptions. The software then extracts contours from the grid at the threshold values and displays these on a map.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output is </w:t>
      </w:r>
      <w:r w:rsidR="00E04BEC" w:rsidRPr="00932562">
        <w:rPr>
          <w:rFonts w:eastAsia="Times New Roman"/>
          <w:sz w:val="22"/>
          <w:szCs w:val="20"/>
          <w:lang w:val="en-GB"/>
        </w:rPr>
        <w:t xml:space="preserve">a </w:t>
      </w:r>
      <w:r w:rsidRPr="00932562">
        <w:rPr>
          <w:rFonts w:eastAsia="Times New Roman"/>
          <w:sz w:val="22"/>
          <w:szCs w:val="20"/>
          <w:lang w:val="en-GB"/>
        </w:rPr>
        <w:t xml:space="preserve">map showing areas where the FSS would experience interference in both cases. </w:t>
      </w:r>
    </w:p>
    <w:p w:rsidR="00624DA4" w:rsidRPr="00932562" w:rsidRDefault="007B6ACF" w:rsidP="00741138">
      <w:pPr>
        <w:keepNext/>
        <w:numPr>
          <w:ilvl w:val="1"/>
          <w:numId w:val="0"/>
        </w:numPr>
        <w:tabs>
          <w:tab w:val="num" w:pos="576"/>
        </w:tabs>
        <w:spacing w:before="240" w:after="60"/>
        <w:outlineLvl w:val="1"/>
        <w:rPr>
          <w:rFonts w:ascii="Arial" w:eastAsia="Times New Roman" w:hAnsi="Arial"/>
          <w:b/>
          <w:szCs w:val="20"/>
          <w:lang w:val="en-GB"/>
        </w:rPr>
      </w:pPr>
      <w:bookmarkStart w:id="10" w:name="_Toc388561193"/>
      <w:r w:rsidRPr="00932562">
        <w:rPr>
          <w:rFonts w:ascii="Arial" w:eastAsia="Times New Roman" w:hAnsi="Arial"/>
          <w:b/>
          <w:szCs w:val="20"/>
          <w:lang w:val="en-GB"/>
        </w:rPr>
        <w:t xml:space="preserve">3.1 </w:t>
      </w:r>
      <w:r w:rsidR="00624DA4" w:rsidRPr="00932562">
        <w:rPr>
          <w:rFonts w:ascii="Arial" w:eastAsia="Times New Roman" w:hAnsi="Arial"/>
          <w:b/>
          <w:szCs w:val="20"/>
          <w:lang w:val="en-GB"/>
        </w:rPr>
        <w:t>Propagation Model</w:t>
      </w:r>
      <w:bookmarkEnd w:id="10"/>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satellite wanted link </w:t>
      </w:r>
      <w:r w:rsidR="009E2173" w:rsidRPr="00932562">
        <w:rPr>
          <w:rFonts w:eastAsia="Times New Roman"/>
          <w:sz w:val="22"/>
          <w:szCs w:val="20"/>
          <w:lang w:val="en-GB"/>
        </w:rPr>
        <w:t xml:space="preserve">is calculated </w:t>
      </w:r>
      <w:r w:rsidRPr="00932562">
        <w:rPr>
          <w:rFonts w:eastAsia="Times New Roman"/>
          <w:sz w:val="22"/>
          <w:szCs w:val="20"/>
          <w:lang w:val="en-GB"/>
        </w:rPr>
        <w:t xml:space="preserve">using free space loss, plus Recommendations ITU-R </w:t>
      </w:r>
      <w:r w:rsidR="009E2173" w:rsidRPr="00932562">
        <w:rPr>
          <w:rFonts w:eastAsia="Times New Roman"/>
          <w:sz w:val="22"/>
          <w:szCs w:val="20"/>
          <w:lang w:val="en-GB"/>
        </w:rPr>
        <w:t>P.</w:t>
      </w:r>
      <w:r w:rsidRPr="00932562">
        <w:rPr>
          <w:rFonts w:eastAsia="Times New Roman"/>
          <w:sz w:val="22"/>
          <w:szCs w:val="20"/>
          <w:lang w:val="en-GB"/>
        </w:rPr>
        <w:t xml:space="preserve">676 and </w:t>
      </w:r>
      <w:r w:rsidR="009E2173" w:rsidRPr="00932562">
        <w:rPr>
          <w:rFonts w:eastAsia="Times New Roman"/>
          <w:sz w:val="22"/>
          <w:szCs w:val="20"/>
          <w:lang w:val="en-GB"/>
        </w:rPr>
        <w:t>P.</w:t>
      </w:r>
      <w:r w:rsidRPr="00932562">
        <w:rPr>
          <w:rFonts w:eastAsia="Times New Roman"/>
          <w:sz w:val="22"/>
          <w:szCs w:val="20"/>
          <w:lang w:val="en-GB"/>
        </w:rPr>
        <w:t>618.</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For the interfering signal we have used Recommendation ITU-R </w:t>
      </w:r>
      <w:r w:rsidR="009E2173" w:rsidRPr="00932562">
        <w:rPr>
          <w:rFonts w:eastAsia="Times New Roman"/>
          <w:sz w:val="22"/>
          <w:szCs w:val="20"/>
          <w:lang w:val="en-GB"/>
        </w:rPr>
        <w:t>P.</w:t>
      </w:r>
      <w:r w:rsidRPr="00932562">
        <w:rPr>
          <w:rFonts w:eastAsia="Times New Roman"/>
          <w:sz w:val="22"/>
          <w:szCs w:val="20"/>
          <w:lang w:val="en-GB"/>
        </w:rPr>
        <w:t>452-15. We have included clutter at the IMT end of the link based on dense urban parameters of the Recommendation. At the receive end the baseline is to consider areas of sparse housing with the lowest clutter loss – this is yet a further conservative assumption. The addition of sub-urban or dense forest clutter – which would be appropriate in many cases – would further improve the results overall.</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Clutter categories and associated parameters are in the Table below, reproduced from Recommendation 452 and the two sets of parameters we are using are highlighted.</w:t>
      </w:r>
    </w:p>
    <w:p w:rsidR="00624DA4" w:rsidRPr="00932562" w:rsidRDefault="00624DA4" w:rsidP="00624DA4">
      <w:pPr>
        <w:spacing w:after="120"/>
        <w:rPr>
          <w:rFonts w:eastAsia="Times New Roman"/>
          <w:sz w:val="22"/>
          <w:szCs w:val="20"/>
          <w:lang w:val="en-G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969"/>
        <w:gridCol w:w="2268"/>
        <w:gridCol w:w="2268"/>
      </w:tblGrid>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vAlign w:val="center"/>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b/>
                <w:sz w:val="22"/>
                <w:szCs w:val="20"/>
                <w:lang w:val="en-GB" w:bidi="th-TH"/>
              </w:rPr>
            </w:pPr>
            <w:r w:rsidRPr="00932562">
              <w:rPr>
                <w:rFonts w:eastAsia="Batang"/>
                <w:b/>
                <w:sz w:val="22"/>
                <w:szCs w:val="20"/>
                <w:lang w:val="en-GB" w:bidi="th-TH"/>
              </w:rPr>
              <w:lastRenderedPageBreak/>
              <w:t>Clutter (ground-cover) category</w:t>
            </w:r>
          </w:p>
        </w:tc>
        <w:tc>
          <w:tcPr>
            <w:tcW w:w="2268" w:type="dxa"/>
            <w:tcBorders>
              <w:top w:val="single" w:sz="4" w:space="0" w:color="auto"/>
              <w:left w:val="single" w:sz="4" w:space="0" w:color="auto"/>
              <w:bottom w:val="single" w:sz="4" w:space="0" w:color="auto"/>
              <w:right w:val="single" w:sz="4" w:space="0" w:color="auto"/>
            </w:tcBorders>
            <w:vAlign w:val="center"/>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b/>
                <w:sz w:val="22"/>
                <w:szCs w:val="20"/>
                <w:lang w:val="en-GB" w:bidi="th-TH"/>
              </w:rPr>
            </w:pPr>
            <w:r w:rsidRPr="00932562">
              <w:rPr>
                <w:rFonts w:eastAsia="Batang"/>
                <w:b/>
                <w:sz w:val="22"/>
                <w:szCs w:val="20"/>
                <w:lang w:val="en-GB" w:bidi="th-TH"/>
              </w:rPr>
              <w:t xml:space="preserve">Nominal height, </w:t>
            </w:r>
            <w:r w:rsidRPr="00932562">
              <w:rPr>
                <w:rFonts w:eastAsia="Batang"/>
                <w:b/>
                <w:i/>
                <w:iCs/>
                <w:sz w:val="22"/>
                <w:szCs w:val="20"/>
                <w:lang w:val="en-GB" w:bidi="th-TH"/>
              </w:rPr>
              <w:t>h</w:t>
            </w:r>
            <w:r w:rsidRPr="00932562">
              <w:rPr>
                <w:rFonts w:ascii="Times New Roman Bold" w:eastAsia="Batang" w:hAnsi="Times New Roman Bold" w:cs="Times New Roman Bold"/>
                <w:b/>
                <w:i/>
                <w:iCs/>
                <w:sz w:val="22"/>
                <w:szCs w:val="20"/>
                <w:vertAlign w:val="subscript"/>
                <w:lang w:val="en-GB" w:bidi="th-TH"/>
              </w:rPr>
              <w:t>a</w:t>
            </w:r>
            <w:r w:rsidRPr="00932562">
              <w:rPr>
                <w:rFonts w:eastAsia="Batang"/>
                <w:b/>
                <w:sz w:val="22"/>
                <w:szCs w:val="20"/>
                <w:lang w:val="en-GB" w:bidi="th-TH"/>
              </w:rPr>
              <w:br/>
              <w:t>(m)</w:t>
            </w:r>
          </w:p>
        </w:tc>
        <w:tc>
          <w:tcPr>
            <w:tcW w:w="2268" w:type="dxa"/>
            <w:tcBorders>
              <w:top w:val="single" w:sz="4" w:space="0" w:color="auto"/>
              <w:left w:val="single" w:sz="4" w:space="0" w:color="auto"/>
              <w:bottom w:val="single" w:sz="4" w:space="0" w:color="auto"/>
              <w:right w:val="single" w:sz="4" w:space="0" w:color="auto"/>
            </w:tcBorders>
            <w:vAlign w:val="center"/>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b/>
                <w:sz w:val="22"/>
                <w:szCs w:val="20"/>
                <w:lang w:val="en-GB" w:bidi="th-TH"/>
              </w:rPr>
            </w:pPr>
            <w:r w:rsidRPr="00932562">
              <w:rPr>
                <w:rFonts w:eastAsia="Batang"/>
                <w:b/>
                <w:sz w:val="22"/>
                <w:szCs w:val="20"/>
                <w:lang w:val="en-GB" w:bidi="th-TH"/>
              </w:rPr>
              <w:t xml:space="preserve">Nominal distance, </w:t>
            </w:r>
            <w:r w:rsidRPr="00932562">
              <w:rPr>
                <w:rFonts w:eastAsia="Batang"/>
                <w:b/>
                <w:i/>
                <w:iCs/>
                <w:sz w:val="22"/>
                <w:szCs w:val="20"/>
                <w:lang w:val="en-GB" w:bidi="th-TH"/>
              </w:rPr>
              <w:t>d</w:t>
            </w:r>
            <w:r w:rsidRPr="00932562">
              <w:rPr>
                <w:rFonts w:ascii="Times New Roman Bold" w:eastAsia="Batang" w:hAnsi="Times New Roman Bold" w:cs="Times New Roman Bold"/>
                <w:b/>
                <w:i/>
                <w:iCs/>
                <w:sz w:val="22"/>
                <w:szCs w:val="20"/>
                <w:vertAlign w:val="subscript"/>
                <w:lang w:val="en-GB" w:bidi="th-TH"/>
              </w:rPr>
              <w:t>k</w:t>
            </w:r>
            <w:r w:rsidRPr="00932562">
              <w:rPr>
                <w:rFonts w:eastAsia="Batang"/>
                <w:b/>
                <w:sz w:val="22"/>
                <w:szCs w:val="20"/>
                <w:lang w:val="en-GB" w:bidi="th-TH"/>
              </w:rPr>
              <w:br/>
              <w:t>(km)</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High crop fields</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Park land</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Irregularly spaced sparse trees</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Orchard (regularly spaced)</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Sparse houses</w:t>
            </w:r>
          </w:p>
        </w:tc>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4</w:t>
            </w:r>
          </w:p>
        </w:tc>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0.1</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Village centre</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5</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0.07</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Deciduous trees (irregularly spaced)</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Deciduous trees (regularly spaced)</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Mixed tree forest</w:t>
            </w:r>
          </w:p>
        </w:tc>
        <w:tc>
          <w:tcPr>
            <w:tcW w:w="2268"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15</w:t>
            </w:r>
          </w:p>
        </w:tc>
        <w:tc>
          <w:tcPr>
            <w:tcW w:w="2268" w:type="dxa"/>
            <w:tcBorders>
              <w:top w:val="single" w:sz="4" w:space="0" w:color="auto"/>
              <w:left w:val="single" w:sz="4" w:space="0" w:color="auto"/>
              <w:bottom w:val="single" w:sz="4" w:space="0" w:color="auto"/>
              <w:right w:val="single" w:sz="4" w:space="0" w:color="auto"/>
            </w:tcBorders>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0.05</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Coniferous trees (irregularly spaced)</w:t>
            </w:r>
          </w:p>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Coniferous trees (regularly spaced)</w:t>
            </w:r>
          </w:p>
        </w:tc>
        <w:tc>
          <w:tcPr>
            <w:tcW w:w="2268" w:type="dxa"/>
            <w:tcBorders>
              <w:top w:val="single" w:sz="4" w:space="0" w:color="auto"/>
              <w:left w:val="single" w:sz="4" w:space="0" w:color="auto"/>
              <w:bottom w:val="single" w:sz="4" w:space="0" w:color="auto"/>
              <w:right w:val="single" w:sz="4" w:space="0" w:color="auto"/>
            </w:tcBorders>
            <w:vAlign w:val="center"/>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0.05</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Tropical rain forest</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20</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0.03</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Suburban</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9</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0.025</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Dense suburban</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12</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0.02</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Urban</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20</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0.02</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Dense urban</w:t>
            </w:r>
          </w:p>
        </w:tc>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25</w:t>
            </w:r>
          </w:p>
        </w:tc>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0.02</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High-rise urban</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35</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0.02</w:t>
            </w:r>
          </w:p>
        </w:tc>
      </w:tr>
      <w:tr w:rsidR="00624DA4" w:rsidRPr="00932562" w:rsidTr="00624DA4">
        <w:trPr>
          <w:jc w:val="center"/>
        </w:trPr>
        <w:tc>
          <w:tcPr>
            <w:tcW w:w="3969"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rPr>
                <w:rFonts w:eastAsia="Batang"/>
                <w:sz w:val="22"/>
                <w:szCs w:val="20"/>
                <w:lang w:val="en-GB" w:bidi="th-TH"/>
              </w:rPr>
            </w:pPr>
            <w:r w:rsidRPr="00932562">
              <w:rPr>
                <w:rFonts w:eastAsia="Batang"/>
                <w:sz w:val="22"/>
                <w:szCs w:val="20"/>
                <w:lang w:val="en-GB" w:bidi="th-TH"/>
              </w:rPr>
              <w:t>Industrial zone</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20</w:t>
            </w:r>
          </w:p>
        </w:tc>
        <w:tc>
          <w:tcPr>
            <w:tcW w:w="2268" w:type="dxa"/>
            <w:tcBorders>
              <w:top w:val="single" w:sz="4" w:space="0" w:color="auto"/>
              <w:left w:val="single" w:sz="4" w:space="0" w:color="auto"/>
              <w:bottom w:val="single" w:sz="4" w:space="0" w:color="auto"/>
              <w:right w:val="single" w:sz="4" w:space="0" w:color="auto"/>
            </w:tcBorders>
            <w:hideMark/>
          </w:tcPr>
          <w:p w:rsidR="00624DA4" w:rsidRPr="00932562" w:rsidRDefault="00624DA4" w:rsidP="00624DA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jc w:val="center"/>
              <w:rPr>
                <w:rFonts w:eastAsia="Batang"/>
                <w:sz w:val="22"/>
                <w:szCs w:val="20"/>
                <w:lang w:val="en-GB" w:bidi="th-TH"/>
              </w:rPr>
            </w:pPr>
            <w:r w:rsidRPr="00932562">
              <w:rPr>
                <w:rFonts w:eastAsia="Batang"/>
                <w:sz w:val="22"/>
                <w:szCs w:val="20"/>
                <w:lang w:val="en-GB" w:bidi="th-TH"/>
              </w:rPr>
              <w:t>0.05</w:t>
            </w:r>
          </w:p>
        </w:tc>
      </w:tr>
    </w:tbl>
    <w:p w:rsidR="00624DA4" w:rsidRPr="00932562" w:rsidRDefault="00624DA4" w:rsidP="00624DA4">
      <w:pPr>
        <w:keepNext/>
        <w:tabs>
          <w:tab w:val="left" w:pos="794"/>
          <w:tab w:val="left" w:pos="1191"/>
          <w:tab w:val="left" w:pos="1588"/>
          <w:tab w:val="left" w:pos="1985"/>
        </w:tabs>
        <w:overflowPunct w:val="0"/>
        <w:autoSpaceDE w:val="0"/>
        <w:autoSpaceDN w:val="0"/>
        <w:adjustRightInd w:val="0"/>
        <w:spacing w:after="120"/>
        <w:jc w:val="center"/>
        <w:rPr>
          <w:rFonts w:eastAsia="Batang"/>
          <w:b/>
          <w:szCs w:val="20"/>
          <w:lang w:val="en-GB" w:bidi="th-TH"/>
        </w:rPr>
      </w:pPr>
      <w:r w:rsidRPr="00932562">
        <w:rPr>
          <w:rFonts w:eastAsia="Batang"/>
          <w:b/>
          <w:szCs w:val="20"/>
          <w:lang w:val="en-GB" w:bidi="th-TH"/>
        </w:rPr>
        <w:fldChar w:fldCharType="begin"/>
      </w:r>
      <w:r w:rsidRPr="00932562">
        <w:rPr>
          <w:rFonts w:eastAsia="Batang"/>
          <w:b/>
          <w:szCs w:val="20"/>
          <w:lang w:val="en-GB" w:bidi="th-TH"/>
        </w:rPr>
        <w:instrText xml:space="preserve"> REF _Ref388454816 \h </w:instrText>
      </w:r>
      <w:r w:rsidRPr="00932562">
        <w:rPr>
          <w:rFonts w:eastAsia="Batang"/>
          <w:b/>
          <w:szCs w:val="20"/>
          <w:lang w:val="en-GB" w:bidi="th-TH"/>
        </w:rPr>
      </w:r>
      <w:r w:rsidRPr="00932562">
        <w:rPr>
          <w:rFonts w:eastAsia="Batang"/>
          <w:b/>
          <w:szCs w:val="20"/>
          <w:lang w:val="en-GB" w:bidi="th-TH"/>
        </w:rPr>
        <w:fldChar w:fldCharType="separate"/>
      </w:r>
      <w:r w:rsidR="00BE0504" w:rsidRPr="00932562">
        <w:rPr>
          <w:rFonts w:eastAsia="Batang"/>
          <w:b/>
          <w:sz w:val="22"/>
          <w:szCs w:val="20"/>
          <w:lang w:val="en-GB" w:bidi="th-TH"/>
        </w:rPr>
        <w:t xml:space="preserve">Table </w:t>
      </w:r>
      <w:r w:rsidR="00BE0504">
        <w:rPr>
          <w:rFonts w:eastAsia="Batang"/>
          <w:b/>
          <w:noProof/>
          <w:sz w:val="22"/>
          <w:szCs w:val="20"/>
          <w:lang w:val="en-GB" w:bidi="th-TH"/>
        </w:rPr>
        <w:t>1</w:t>
      </w:r>
      <w:r w:rsidRPr="00932562">
        <w:rPr>
          <w:rFonts w:eastAsia="Batang"/>
          <w:b/>
          <w:szCs w:val="20"/>
          <w:lang w:val="en-GB" w:bidi="th-TH"/>
        </w:rPr>
        <w:fldChar w:fldCharType="end"/>
      </w:r>
      <w:r w:rsidR="009E2173" w:rsidRPr="00932562">
        <w:rPr>
          <w:rFonts w:eastAsia="Batang"/>
          <w:b/>
          <w:szCs w:val="20"/>
          <w:lang w:val="en-GB" w:bidi="th-TH"/>
        </w:rPr>
        <w:t>.</w:t>
      </w:r>
      <w:r w:rsidRPr="00932562">
        <w:rPr>
          <w:rFonts w:eastAsia="Batang"/>
          <w:b/>
          <w:szCs w:val="20"/>
          <w:lang w:val="en-GB" w:bidi="th-TH"/>
        </w:rPr>
        <w:t xml:space="preserve"> Nominal clutter heights and distances from Recommendation ITU-R </w:t>
      </w:r>
      <w:r w:rsidR="009E2173" w:rsidRPr="00932562">
        <w:rPr>
          <w:rFonts w:eastAsia="Batang"/>
          <w:b/>
          <w:szCs w:val="20"/>
          <w:lang w:val="en-GB" w:bidi="th-TH"/>
        </w:rPr>
        <w:t>P.</w:t>
      </w:r>
      <w:r w:rsidRPr="00932562">
        <w:rPr>
          <w:rFonts w:eastAsia="Batang"/>
          <w:b/>
          <w:szCs w:val="20"/>
          <w:lang w:val="en-GB" w:bidi="th-TH"/>
        </w:rPr>
        <w:t>452-15</w:t>
      </w:r>
    </w:p>
    <w:p w:rsidR="00624DA4" w:rsidRPr="00932562" w:rsidRDefault="00624DA4" w:rsidP="00624DA4">
      <w:pPr>
        <w:spacing w:after="120"/>
        <w:ind w:left="624"/>
        <w:jc w:val="both"/>
        <w:rPr>
          <w:rFonts w:eastAsia="Times New Roman"/>
          <w:sz w:val="22"/>
          <w:szCs w:val="20"/>
          <w:lang w:val="en-GB"/>
        </w:rPr>
      </w:pPr>
    </w:p>
    <w:p w:rsidR="00624DA4" w:rsidRPr="00932562" w:rsidRDefault="007B6ACF" w:rsidP="00741138">
      <w:pPr>
        <w:keepNext/>
        <w:numPr>
          <w:ilvl w:val="1"/>
          <w:numId w:val="0"/>
        </w:numPr>
        <w:tabs>
          <w:tab w:val="num" w:pos="576"/>
        </w:tabs>
        <w:spacing w:before="240" w:after="60"/>
        <w:outlineLvl w:val="1"/>
        <w:rPr>
          <w:rFonts w:ascii="Arial" w:eastAsia="Times New Roman" w:hAnsi="Arial"/>
          <w:b/>
          <w:szCs w:val="20"/>
          <w:lang w:val="en-GB"/>
        </w:rPr>
      </w:pPr>
      <w:bookmarkStart w:id="11" w:name="_Toc388561194"/>
      <w:r w:rsidRPr="00932562">
        <w:rPr>
          <w:rFonts w:ascii="Arial" w:eastAsia="Times New Roman" w:hAnsi="Arial"/>
          <w:b/>
          <w:szCs w:val="20"/>
          <w:lang w:val="en-GB"/>
        </w:rPr>
        <w:t xml:space="preserve">3.2 </w:t>
      </w:r>
      <w:r w:rsidR="00624DA4" w:rsidRPr="00932562">
        <w:rPr>
          <w:rFonts w:ascii="Arial" w:eastAsia="Times New Roman" w:hAnsi="Arial"/>
          <w:b/>
          <w:szCs w:val="20"/>
          <w:lang w:val="en-GB"/>
        </w:rPr>
        <w:t>Availability Target</w:t>
      </w:r>
      <w:bookmarkEnd w:id="11"/>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In order to achieve the 99.8% availability the simulation should strictly consider the independent statistical processes that lead to fade on the wanted link and to fade/enhancement of the interfering signal level. We could develop a Monte-Carlo simulation that models this and extract the 99.8% level.</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We should, if being very accurate, not simply put a value of 99.8% into the Recommendation </w:t>
      </w:r>
      <w:r w:rsidR="009E2173" w:rsidRPr="00932562">
        <w:rPr>
          <w:rFonts w:eastAsia="Times New Roman"/>
          <w:sz w:val="22"/>
          <w:szCs w:val="20"/>
          <w:lang w:val="en-GB"/>
        </w:rPr>
        <w:t>P.</w:t>
      </w:r>
      <w:r w:rsidRPr="00932562">
        <w:rPr>
          <w:rFonts w:eastAsia="Times New Roman"/>
          <w:sz w:val="22"/>
          <w:szCs w:val="20"/>
          <w:lang w:val="en-GB"/>
        </w:rPr>
        <w:t>452 propagation model. However, for simplicity this is what we have done in the simulations. This is another conservative assumption.</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Given that we have derived the criteria based on 99.8% availability of the wanted link, this amounts to an assumption that the wanted link is faded at the same time as the interfere is enhanced – whereas the two processes are uncorrelated. So we are again erring on the safe side. However, given that the fading on the wanted link is small this is not a bad approximation.</w:t>
      </w:r>
    </w:p>
    <w:p w:rsidR="00624DA4" w:rsidRPr="00932562" w:rsidRDefault="00624DA4" w:rsidP="00741138">
      <w:pPr>
        <w:pStyle w:val="ListParagraph"/>
        <w:keepNext/>
        <w:numPr>
          <w:ilvl w:val="0"/>
          <w:numId w:val="14"/>
        </w:numPr>
        <w:spacing w:before="120" w:after="120"/>
        <w:ind w:left="0" w:firstLine="0"/>
        <w:outlineLvl w:val="0"/>
        <w:rPr>
          <w:rFonts w:ascii="Arial" w:eastAsia="Times New Roman" w:hAnsi="Arial"/>
          <w:b/>
          <w:smallCaps/>
          <w:kern w:val="28"/>
          <w:sz w:val="28"/>
          <w:szCs w:val="20"/>
          <w:lang w:val="en-GB"/>
        </w:rPr>
      </w:pPr>
      <w:bookmarkStart w:id="12" w:name="_Toc388561195"/>
      <w:r w:rsidRPr="00932562">
        <w:rPr>
          <w:rFonts w:ascii="Arial" w:eastAsia="Times New Roman" w:hAnsi="Arial"/>
          <w:b/>
          <w:smallCaps/>
          <w:kern w:val="28"/>
          <w:sz w:val="28"/>
          <w:szCs w:val="20"/>
          <w:lang w:val="en-GB"/>
        </w:rPr>
        <w:t>Results</w:t>
      </w:r>
      <w:bookmarkEnd w:id="12"/>
      <w:r w:rsidRPr="00932562">
        <w:rPr>
          <w:rFonts w:ascii="Arial" w:eastAsia="Times New Roman" w:hAnsi="Arial"/>
          <w:b/>
          <w:smallCaps/>
          <w:kern w:val="28"/>
          <w:sz w:val="28"/>
          <w:szCs w:val="20"/>
          <w:lang w:val="en-GB"/>
        </w:rPr>
        <w:t xml:space="preserve"> </w:t>
      </w:r>
    </w:p>
    <w:p w:rsidR="00624DA4" w:rsidRPr="00932562" w:rsidRDefault="007B6ACF" w:rsidP="00741138">
      <w:pPr>
        <w:keepNext/>
        <w:numPr>
          <w:ilvl w:val="1"/>
          <w:numId w:val="0"/>
        </w:numPr>
        <w:tabs>
          <w:tab w:val="num" w:pos="576"/>
        </w:tabs>
        <w:spacing w:before="240" w:after="60"/>
        <w:outlineLvl w:val="1"/>
        <w:rPr>
          <w:rFonts w:ascii="Arial" w:eastAsia="Times New Roman" w:hAnsi="Arial"/>
          <w:b/>
          <w:szCs w:val="20"/>
          <w:lang w:val="en-GB"/>
        </w:rPr>
      </w:pPr>
      <w:bookmarkStart w:id="13" w:name="_Toc388561196"/>
      <w:r w:rsidRPr="00932562">
        <w:rPr>
          <w:rFonts w:ascii="Arial" w:eastAsia="Times New Roman" w:hAnsi="Arial"/>
          <w:b/>
          <w:szCs w:val="20"/>
          <w:lang w:val="en-GB"/>
        </w:rPr>
        <w:t xml:space="preserve">4.1 </w:t>
      </w:r>
      <w:r w:rsidR="00624DA4" w:rsidRPr="00932562">
        <w:rPr>
          <w:rFonts w:ascii="Arial" w:eastAsia="Times New Roman" w:hAnsi="Arial"/>
          <w:b/>
          <w:szCs w:val="20"/>
          <w:lang w:val="en-GB"/>
        </w:rPr>
        <w:t>Hanoi</w:t>
      </w:r>
      <w:bookmarkEnd w:id="13"/>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fldChar w:fldCharType="begin"/>
      </w:r>
      <w:r w:rsidRPr="00932562">
        <w:rPr>
          <w:rFonts w:eastAsia="Times New Roman"/>
          <w:sz w:val="22"/>
          <w:szCs w:val="20"/>
          <w:lang w:val="en-GB"/>
        </w:rPr>
        <w:instrText xml:space="preserve"> REF _Ref388562622 \h </w:instrText>
      </w:r>
      <w:r w:rsidRPr="00932562">
        <w:rPr>
          <w:rFonts w:eastAsia="Times New Roman"/>
          <w:sz w:val="22"/>
          <w:szCs w:val="20"/>
          <w:lang w:val="en-GB"/>
        </w:rPr>
      </w:r>
      <w:r w:rsidRPr="00932562">
        <w:rPr>
          <w:rFonts w:eastAsia="Times New Roman"/>
          <w:sz w:val="22"/>
          <w:szCs w:val="20"/>
          <w:lang w:val="en-GB"/>
        </w:rPr>
        <w:fldChar w:fldCharType="separate"/>
      </w:r>
      <w:r w:rsidR="00BE0504" w:rsidRPr="00932562">
        <w:rPr>
          <w:rFonts w:eastAsia="Batang"/>
          <w:b/>
          <w:sz w:val="22"/>
          <w:szCs w:val="20"/>
          <w:lang w:val="en-GB" w:bidi="th-TH"/>
        </w:rPr>
        <w:t xml:space="preserve">Figure </w:t>
      </w:r>
      <w:r w:rsidR="00BE0504">
        <w:rPr>
          <w:rFonts w:eastAsia="Batang"/>
          <w:b/>
          <w:noProof/>
          <w:sz w:val="22"/>
          <w:szCs w:val="20"/>
          <w:lang w:val="en-GB" w:bidi="th-TH"/>
        </w:rPr>
        <w:t>3</w:t>
      </w:r>
      <w:r w:rsidRPr="00932562">
        <w:rPr>
          <w:rFonts w:eastAsia="Times New Roman"/>
          <w:sz w:val="22"/>
          <w:szCs w:val="20"/>
          <w:lang w:val="en-GB"/>
        </w:rPr>
        <w:fldChar w:fldCharType="end"/>
      </w:r>
      <w:r w:rsidRPr="00932562">
        <w:rPr>
          <w:rFonts w:eastAsia="Times New Roman"/>
          <w:sz w:val="22"/>
          <w:szCs w:val="20"/>
          <w:lang w:val="en-GB"/>
        </w:rPr>
        <w:t xml:space="preserve"> shows contours of C/I (12 dB) and I/N (-13 dB) around the centre of Hanoi in Vietnam.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Under the fixed I/N assumptions the area enclosed by the red contour would be sterilised. Under the approach based on C/I needed to allow DVB-S2 reception to 1.8m dishes the area inside the black contour would be affected.</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black contour implies a minimum separation distance of around 2.5 km whereas the red implies around 17.5 km.</w:t>
      </w:r>
    </w:p>
    <w:p w:rsidR="00624DA4" w:rsidRPr="00932562" w:rsidRDefault="00900066" w:rsidP="00624DA4">
      <w:pPr>
        <w:spacing w:after="120"/>
        <w:ind w:left="624"/>
        <w:jc w:val="both"/>
        <w:rPr>
          <w:rFonts w:eastAsia="Times New Roman"/>
          <w:sz w:val="22"/>
          <w:szCs w:val="20"/>
          <w:lang w:val="en-GB"/>
        </w:rPr>
      </w:pPr>
      <w:r w:rsidRPr="00932562">
        <w:rPr>
          <w:rFonts w:eastAsia="Times New Roman"/>
          <w:noProof/>
          <w:sz w:val="22"/>
          <w:szCs w:val="20"/>
        </w:rPr>
        <w:lastRenderedPageBreak/>
        <w:drawing>
          <wp:inline distT="0" distB="0" distL="0" distR="0" wp14:anchorId="46675F28" wp14:editId="06BA5A2D">
            <wp:extent cx="5194990" cy="3591763"/>
            <wp:effectExtent l="0" t="0" r="5715" b="8890"/>
            <wp:docPr id="3" name="Picture 3" descr="C:\Users\pzhao\Dropbox\GSMA\spectrum\APT\APG\APG15-3\c-band\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zhao\Dropbox\GSMA\spectrum\APT\APG\APG15-3\c-band\figur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602" cy="3592878"/>
                    </a:xfrm>
                    <a:prstGeom prst="rect">
                      <a:avLst/>
                    </a:prstGeom>
                    <a:noFill/>
                    <a:ln>
                      <a:noFill/>
                    </a:ln>
                  </pic:spPr>
                </pic:pic>
              </a:graphicData>
            </a:graphic>
          </wp:inline>
        </w:drawing>
      </w:r>
    </w:p>
    <w:p w:rsidR="00624DA4" w:rsidRPr="00932562" w:rsidRDefault="00624DA4" w:rsidP="00624DA4">
      <w:pPr>
        <w:spacing w:before="120" w:after="120"/>
        <w:jc w:val="center"/>
        <w:rPr>
          <w:rFonts w:eastAsia="Batang"/>
          <w:b/>
          <w:sz w:val="22"/>
          <w:szCs w:val="20"/>
          <w:lang w:val="en-GB" w:bidi="th-TH"/>
        </w:rPr>
      </w:pPr>
      <w:bookmarkStart w:id="14" w:name="_Ref388562622"/>
      <w:r w:rsidRPr="00932562">
        <w:rPr>
          <w:rFonts w:eastAsia="Batang"/>
          <w:b/>
          <w:sz w:val="22"/>
          <w:szCs w:val="20"/>
          <w:lang w:val="en-GB" w:bidi="th-TH"/>
        </w:rPr>
        <w:t xml:space="preserve">Figure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Figure \* ARABIC </w:instrText>
      </w:r>
      <w:r w:rsidRPr="00932562">
        <w:rPr>
          <w:rFonts w:eastAsia="Batang"/>
          <w:b/>
          <w:sz w:val="22"/>
          <w:szCs w:val="20"/>
          <w:lang w:val="en-GB" w:bidi="th-TH"/>
        </w:rPr>
        <w:fldChar w:fldCharType="separate"/>
      </w:r>
      <w:r w:rsidR="00BE0504">
        <w:rPr>
          <w:rFonts w:eastAsia="Batang"/>
          <w:b/>
          <w:noProof/>
          <w:sz w:val="22"/>
          <w:szCs w:val="20"/>
          <w:lang w:val="en-GB" w:bidi="th-TH"/>
        </w:rPr>
        <w:t>3</w:t>
      </w:r>
      <w:r w:rsidRPr="00932562">
        <w:rPr>
          <w:rFonts w:eastAsia="Batang"/>
          <w:b/>
          <w:sz w:val="22"/>
          <w:szCs w:val="20"/>
          <w:lang w:val="en-GB" w:bidi="th-TH"/>
        </w:rPr>
        <w:fldChar w:fldCharType="end"/>
      </w:r>
      <w:bookmarkEnd w:id="14"/>
      <w:r w:rsidRPr="00932562">
        <w:rPr>
          <w:rFonts w:eastAsia="Batang"/>
          <w:b/>
          <w:sz w:val="22"/>
          <w:szCs w:val="20"/>
          <w:lang w:val="en-GB" w:bidi="th-TH"/>
        </w:rPr>
        <w:t xml:space="preserve"> – C/I (black contour) and I/N (red contour) based exclusion zones for single entry </w:t>
      </w:r>
      <w:r w:rsidR="00BE0504">
        <w:rPr>
          <w:rFonts w:eastAsia="Batang"/>
          <w:b/>
          <w:sz w:val="22"/>
          <w:szCs w:val="20"/>
          <w:lang w:val="en-GB" w:bidi="th-TH"/>
        </w:rPr>
        <w:t>micro</w:t>
      </w:r>
      <w:r w:rsidRPr="00932562">
        <w:rPr>
          <w:rFonts w:eastAsia="Batang"/>
          <w:b/>
          <w:sz w:val="22"/>
          <w:szCs w:val="20"/>
          <w:lang w:val="en-GB" w:bidi="th-TH"/>
        </w:rPr>
        <w:t xml:space="preserve"> cell outdoor base station deployed anywhere in the dense urban centre of Hanoi . The</w:t>
      </w:r>
      <w:r w:rsidR="00C65E6F" w:rsidRPr="00932562">
        <w:rPr>
          <w:rFonts w:eastAsia="Batang"/>
          <w:b/>
          <w:sz w:val="22"/>
          <w:szCs w:val="20"/>
          <w:lang w:val="en-GB" w:bidi="th-TH"/>
        </w:rPr>
        <w:t xml:space="preserve"> green circles have a radius 5 </w:t>
      </w:r>
      <w:r w:rsidRPr="00932562">
        <w:rPr>
          <w:rFonts w:eastAsia="Batang"/>
          <w:b/>
          <w:sz w:val="22"/>
          <w:szCs w:val="20"/>
          <w:lang w:val="en-GB" w:bidi="th-TH"/>
        </w:rPr>
        <w:t>km from the centre of the proposed IMT License area</w:t>
      </w:r>
    </w:p>
    <w:p w:rsidR="00624DA4" w:rsidRPr="00932562" w:rsidRDefault="007B6ACF" w:rsidP="00741138">
      <w:pPr>
        <w:keepNext/>
        <w:numPr>
          <w:ilvl w:val="2"/>
          <w:numId w:val="0"/>
        </w:numPr>
        <w:tabs>
          <w:tab w:val="num" w:pos="720"/>
        </w:tabs>
        <w:spacing w:before="120" w:after="120"/>
        <w:outlineLvl w:val="2"/>
        <w:rPr>
          <w:rFonts w:ascii="Arial" w:eastAsia="Times New Roman" w:hAnsi="Arial"/>
          <w:b/>
          <w:sz w:val="22"/>
          <w:szCs w:val="20"/>
          <w:lang w:val="en-GB"/>
        </w:rPr>
      </w:pPr>
      <w:bookmarkStart w:id="15" w:name="_Toc388561197"/>
      <w:r w:rsidRPr="00932562">
        <w:rPr>
          <w:rFonts w:ascii="Arial" w:eastAsia="Times New Roman" w:hAnsi="Arial"/>
          <w:b/>
          <w:sz w:val="22"/>
          <w:szCs w:val="20"/>
          <w:lang w:val="en-GB"/>
        </w:rPr>
        <w:t xml:space="preserve">4.1.1 </w:t>
      </w:r>
      <w:r w:rsidR="00624DA4" w:rsidRPr="00932562">
        <w:rPr>
          <w:rFonts w:ascii="Arial" w:eastAsia="Times New Roman" w:hAnsi="Arial"/>
          <w:b/>
          <w:sz w:val="22"/>
          <w:szCs w:val="20"/>
          <w:lang w:val="en-GB"/>
        </w:rPr>
        <w:t>Comparison to Strict JTG Results</w:t>
      </w:r>
      <w:bookmarkEnd w:id="15"/>
      <w:r w:rsidR="00624DA4" w:rsidRPr="00932562">
        <w:rPr>
          <w:rFonts w:ascii="Arial" w:eastAsia="Times New Roman" w:hAnsi="Arial"/>
          <w:b/>
          <w:sz w:val="22"/>
          <w:szCs w:val="20"/>
          <w:lang w:val="en-GB"/>
        </w:rPr>
        <w:t xml:space="preserve">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figure below adds the contour that would be found under the strict constraints of JTG analysis, and is the sort of figure used to support the headline outputs from JTG. This is the blue contour in the figure below.</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JTG would assume 5° elevation for the satellite which implies 5° off axis towards the horizontal and hence a gain (32-25log(theta)) of 14.5 dB in the interference calculation. The generic result of JTG would also assume smooth earth terrain and a link temperature of 100K.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difference between the blue and black contours is dramatic.</w:t>
      </w:r>
    </w:p>
    <w:p w:rsidR="00624DA4" w:rsidRPr="00932562" w:rsidRDefault="00900066" w:rsidP="00624DA4">
      <w:pPr>
        <w:spacing w:after="120"/>
        <w:ind w:left="624"/>
        <w:jc w:val="both"/>
        <w:rPr>
          <w:rFonts w:eastAsia="Times New Roman"/>
          <w:sz w:val="22"/>
          <w:szCs w:val="20"/>
          <w:lang w:val="en-GB"/>
        </w:rPr>
      </w:pPr>
      <w:r w:rsidRPr="00932562">
        <w:rPr>
          <w:rFonts w:eastAsia="Times New Roman"/>
          <w:noProof/>
          <w:sz w:val="22"/>
          <w:szCs w:val="20"/>
        </w:rPr>
        <w:lastRenderedPageBreak/>
        <w:drawing>
          <wp:inline distT="0" distB="0" distL="0" distR="0" wp14:anchorId="36221F41" wp14:editId="5615CF36">
            <wp:extent cx="5194990" cy="3591763"/>
            <wp:effectExtent l="0" t="0" r="5715" b="8890"/>
            <wp:docPr id="4" name="Picture 4" descr="C:\Users\pzhao\Dropbox\GSMA\spectrum\APT\APG\APG15-3\c-band\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zhao\Dropbox\GSMA\spectrum\APT\APG\APG15-3\c-band\figur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602" cy="3592878"/>
                    </a:xfrm>
                    <a:prstGeom prst="rect">
                      <a:avLst/>
                    </a:prstGeom>
                    <a:noFill/>
                    <a:ln>
                      <a:noFill/>
                    </a:ln>
                  </pic:spPr>
                </pic:pic>
              </a:graphicData>
            </a:graphic>
          </wp:inline>
        </w:drawing>
      </w:r>
    </w:p>
    <w:p w:rsidR="00624DA4" w:rsidRPr="00932562" w:rsidRDefault="00624DA4" w:rsidP="00624DA4">
      <w:pPr>
        <w:spacing w:before="120" w:after="120"/>
        <w:jc w:val="center"/>
        <w:rPr>
          <w:rFonts w:eastAsia="Batang"/>
          <w:b/>
          <w:sz w:val="22"/>
          <w:szCs w:val="20"/>
          <w:lang w:val="en-GB" w:bidi="th-TH"/>
        </w:rPr>
      </w:pPr>
      <w:r w:rsidRPr="00932562">
        <w:rPr>
          <w:rFonts w:eastAsia="Batang"/>
          <w:b/>
          <w:sz w:val="22"/>
          <w:szCs w:val="20"/>
          <w:lang w:val="en-GB" w:bidi="th-TH"/>
        </w:rPr>
        <w:t xml:space="preserve">Figure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Figure \* ARABIC </w:instrText>
      </w:r>
      <w:r w:rsidRPr="00932562">
        <w:rPr>
          <w:rFonts w:eastAsia="Batang"/>
          <w:b/>
          <w:sz w:val="22"/>
          <w:szCs w:val="20"/>
          <w:lang w:val="en-GB" w:bidi="th-TH"/>
        </w:rPr>
        <w:fldChar w:fldCharType="separate"/>
      </w:r>
      <w:r w:rsidR="00BE0504">
        <w:rPr>
          <w:rFonts w:eastAsia="Batang"/>
          <w:b/>
          <w:noProof/>
          <w:sz w:val="22"/>
          <w:szCs w:val="20"/>
          <w:lang w:val="en-GB" w:bidi="th-TH"/>
        </w:rPr>
        <w:t>4</w:t>
      </w:r>
      <w:r w:rsidRPr="00932562">
        <w:rPr>
          <w:rFonts w:eastAsia="Batang"/>
          <w:b/>
          <w:sz w:val="22"/>
          <w:szCs w:val="20"/>
          <w:lang w:val="en-GB" w:bidi="th-TH"/>
        </w:rPr>
        <w:fldChar w:fldCharType="end"/>
      </w:r>
      <w:r w:rsidRPr="00932562">
        <w:rPr>
          <w:rFonts w:eastAsia="Batang"/>
          <w:b/>
          <w:sz w:val="22"/>
          <w:szCs w:val="20"/>
          <w:lang w:val="en-GB" w:bidi="th-TH"/>
        </w:rPr>
        <w:t xml:space="preserve"> – The blue contour is the generic long term I/N threshold from JTG 4-5-6-7 for </w:t>
      </w:r>
      <w:r w:rsidR="00BE0504">
        <w:rPr>
          <w:rFonts w:eastAsia="Batang"/>
          <w:b/>
          <w:sz w:val="22"/>
          <w:szCs w:val="20"/>
          <w:lang w:val="en-GB" w:bidi="th-TH"/>
        </w:rPr>
        <w:t>micro</w:t>
      </w:r>
      <w:r w:rsidRPr="00932562">
        <w:rPr>
          <w:rFonts w:eastAsia="Batang"/>
          <w:b/>
          <w:sz w:val="22"/>
          <w:szCs w:val="20"/>
          <w:lang w:val="en-GB" w:bidi="th-TH"/>
        </w:rPr>
        <w:t xml:space="preserve"> cell outdoor. It has a radius of around 35 km which correspond to a minimum separation of around 30 km.</w:t>
      </w:r>
    </w:p>
    <w:p w:rsidR="00624DA4" w:rsidRPr="00932562" w:rsidRDefault="007B6ACF" w:rsidP="00741138">
      <w:pPr>
        <w:keepNext/>
        <w:numPr>
          <w:ilvl w:val="1"/>
          <w:numId w:val="0"/>
        </w:numPr>
        <w:tabs>
          <w:tab w:val="num" w:pos="576"/>
        </w:tabs>
        <w:spacing w:before="240" w:after="60"/>
        <w:outlineLvl w:val="1"/>
        <w:rPr>
          <w:rFonts w:ascii="Arial" w:eastAsia="Times New Roman" w:hAnsi="Arial"/>
          <w:b/>
          <w:szCs w:val="20"/>
          <w:lang w:val="en-GB"/>
        </w:rPr>
      </w:pPr>
      <w:bookmarkStart w:id="16" w:name="_Toc388561198"/>
      <w:r w:rsidRPr="00932562">
        <w:rPr>
          <w:rFonts w:ascii="Arial" w:eastAsia="Times New Roman" w:hAnsi="Arial"/>
          <w:b/>
          <w:szCs w:val="20"/>
          <w:lang w:val="en-GB"/>
        </w:rPr>
        <w:t xml:space="preserve">4.2 </w:t>
      </w:r>
      <w:r w:rsidR="00624DA4" w:rsidRPr="00932562">
        <w:rPr>
          <w:rFonts w:ascii="Arial" w:eastAsia="Times New Roman" w:hAnsi="Arial"/>
          <w:b/>
          <w:szCs w:val="20"/>
          <w:lang w:val="en-GB"/>
        </w:rPr>
        <w:t>Kuala Lumpur</w:t>
      </w:r>
      <w:bookmarkEnd w:id="16"/>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same Vinasat satellite could provide coverage to Malaysia, at between -1 and -2 dB from peak gain. Therefore, the analysis presented above is valid for the area around Kuala Lumpur and we can repeat the simulations there.  The satellite elevation at KL is around 54°.</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terrain around KL has higher relief than the relatively flat area around Hanoi. As a result the contours are less regular and in some regions (to the west for example) terrain shielding is dominant and reduces the I/N separation distance significantly. On the other hand there are small areas at larger separation where both the I/N increases and the C/I falls below the threshold.</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contours are shown in the figure below:</w:t>
      </w:r>
    </w:p>
    <w:p w:rsidR="00624DA4" w:rsidRPr="00932562" w:rsidRDefault="00C21AA2" w:rsidP="00624DA4">
      <w:pPr>
        <w:spacing w:after="120"/>
        <w:ind w:left="624"/>
        <w:jc w:val="both"/>
        <w:rPr>
          <w:rFonts w:eastAsia="Times New Roman"/>
          <w:sz w:val="22"/>
          <w:szCs w:val="20"/>
          <w:lang w:val="en-GB"/>
        </w:rPr>
      </w:pPr>
      <w:r>
        <w:rPr>
          <w:rFonts w:eastAsia="Times New Roman"/>
          <w:noProof/>
          <w:sz w:val="22"/>
          <w:szCs w:val="20"/>
        </w:rPr>
        <w:drawing>
          <wp:inline distT="0" distB="0" distL="0" distR="0" wp14:anchorId="1DBB3937" wp14:editId="328EAA5B">
            <wp:extent cx="5195695" cy="2413231"/>
            <wp:effectExtent l="0" t="0" r="5080" b="6350"/>
            <wp:docPr id="8" name="Picture 8" descr="C:\Users\pzhao\Dropbox\GSMA\spectrum\APT\APG\APG15-3\c-band\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zhao\Dropbox\GSMA\spectrum\APT\APG\APG15-3\c-band\figur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245" cy="2413951"/>
                    </a:xfrm>
                    <a:prstGeom prst="rect">
                      <a:avLst/>
                    </a:prstGeom>
                    <a:noFill/>
                    <a:ln>
                      <a:noFill/>
                    </a:ln>
                  </pic:spPr>
                </pic:pic>
              </a:graphicData>
            </a:graphic>
          </wp:inline>
        </w:drawing>
      </w:r>
    </w:p>
    <w:p w:rsidR="00624DA4" w:rsidRPr="00932562" w:rsidRDefault="00624DA4" w:rsidP="00624DA4">
      <w:pPr>
        <w:spacing w:before="120" w:after="120"/>
        <w:jc w:val="center"/>
        <w:rPr>
          <w:rFonts w:eastAsia="Batang"/>
          <w:b/>
          <w:sz w:val="22"/>
          <w:szCs w:val="20"/>
          <w:lang w:val="en-GB" w:bidi="th-TH"/>
        </w:rPr>
      </w:pPr>
      <w:r w:rsidRPr="00932562">
        <w:rPr>
          <w:rFonts w:eastAsia="Batang"/>
          <w:b/>
          <w:sz w:val="22"/>
          <w:szCs w:val="20"/>
          <w:lang w:val="en-GB" w:bidi="th-TH"/>
        </w:rPr>
        <w:t xml:space="preserve">Figure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Figure \* ARABIC </w:instrText>
      </w:r>
      <w:r w:rsidRPr="00932562">
        <w:rPr>
          <w:rFonts w:eastAsia="Batang"/>
          <w:b/>
          <w:sz w:val="22"/>
          <w:szCs w:val="20"/>
          <w:lang w:val="en-GB" w:bidi="th-TH"/>
        </w:rPr>
        <w:fldChar w:fldCharType="separate"/>
      </w:r>
      <w:r w:rsidR="00BE0504">
        <w:rPr>
          <w:rFonts w:eastAsia="Batang"/>
          <w:b/>
          <w:noProof/>
          <w:sz w:val="22"/>
          <w:szCs w:val="20"/>
          <w:lang w:val="en-GB" w:bidi="th-TH"/>
        </w:rPr>
        <w:t>5</w:t>
      </w:r>
      <w:r w:rsidRPr="00932562">
        <w:rPr>
          <w:rFonts w:eastAsia="Batang"/>
          <w:b/>
          <w:sz w:val="22"/>
          <w:szCs w:val="20"/>
          <w:lang w:val="en-GB" w:bidi="th-TH"/>
        </w:rPr>
        <w:fldChar w:fldCharType="end"/>
      </w:r>
      <w:r w:rsidRPr="00932562">
        <w:rPr>
          <w:rFonts w:eastAsia="Batang"/>
          <w:b/>
          <w:sz w:val="22"/>
          <w:szCs w:val="20"/>
          <w:lang w:val="en-GB" w:bidi="th-TH"/>
        </w:rPr>
        <w:t xml:space="preserve"> - C/I (black contour) and I/N (red contour) based exclusion zones for single entry </w:t>
      </w:r>
      <w:r w:rsidR="00BE0504">
        <w:rPr>
          <w:rFonts w:eastAsia="Batang"/>
          <w:b/>
          <w:sz w:val="22"/>
          <w:szCs w:val="20"/>
          <w:lang w:val="en-GB" w:bidi="th-TH"/>
        </w:rPr>
        <w:t>micro</w:t>
      </w:r>
      <w:r w:rsidRPr="00932562">
        <w:rPr>
          <w:rFonts w:eastAsia="Batang"/>
          <w:b/>
          <w:sz w:val="22"/>
          <w:szCs w:val="20"/>
          <w:lang w:val="en-GB" w:bidi="th-TH"/>
        </w:rPr>
        <w:t xml:space="preserve"> cell outdoor base station deployed anywhere in the dense urban centre of Kuala Lumpur. The</w:t>
      </w:r>
      <w:r w:rsidR="00C65E6F" w:rsidRPr="00932562">
        <w:rPr>
          <w:rFonts w:eastAsia="Batang"/>
          <w:b/>
          <w:sz w:val="22"/>
          <w:szCs w:val="20"/>
          <w:lang w:val="en-GB" w:bidi="th-TH"/>
        </w:rPr>
        <w:t xml:space="preserve"> green circles have a radius 5 </w:t>
      </w:r>
      <w:r w:rsidRPr="00932562">
        <w:rPr>
          <w:rFonts w:eastAsia="Batang"/>
          <w:b/>
          <w:sz w:val="22"/>
          <w:szCs w:val="20"/>
          <w:lang w:val="en-GB" w:bidi="th-TH"/>
        </w:rPr>
        <w:t>km from the centre of the proposed IMT License area</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lastRenderedPageBreak/>
        <w:t xml:space="preserve">Despite these contours being less regular than the ones around Hanoi, there is a clear difference between the I/N exclusion zone and the C/I zone. The C/I exclusion zone is again around 2.5 km although some areas to west show lower levels of C/I on high ground. </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However, it would be sensible to deal with these areas on a case by case basis, rather than sterilise an area of radius 30km+. Perhaps there are no villages in those areas, perhaps our pessimistic assumption mean that service will be possible, perhaps the regulator can find other ways to deal with any issues which arise.</w:t>
      </w:r>
    </w:p>
    <w:p w:rsidR="00624DA4" w:rsidRPr="00932562" w:rsidRDefault="00AB2235" w:rsidP="00741138">
      <w:pPr>
        <w:keepNext/>
        <w:numPr>
          <w:ilvl w:val="1"/>
          <w:numId w:val="0"/>
        </w:numPr>
        <w:tabs>
          <w:tab w:val="num" w:pos="576"/>
        </w:tabs>
        <w:spacing w:before="240" w:after="60"/>
        <w:outlineLvl w:val="1"/>
        <w:rPr>
          <w:rFonts w:ascii="Arial" w:eastAsia="Times New Roman" w:hAnsi="Arial"/>
          <w:b/>
          <w:szCs w:val="20"/>
          <w:lang w:val="en-GB"/>
        </w:rPr>
      </w:pPr>
      <w:r w:rsidRPr="00932562">
        <w:rPr>
          <w:rFonts w:ascii="Arial" w:eastAsia="Times New Roman" w:hAnsi="Arial"/>
          <w:b/>
          <w:szCs w:val="20"/>
          <w:lang w:val="en-GB"/>
        </w:rPr>
        <w:t xml:space="preserve">4.3 </w:t>
      </w:r>
      <w:r w:rsidR="00624DA4" w:rsidRPr="00932562">
        <w:rPr>
          <w:rFonts w:ascii="Arial" w:eastAsia="Times New Roman" w:hAnsi="Arial"/>
          <w:b/>
          <w:szCs w:val="20"/>
          <w:lang w:val="en-GB"/>
        </w:rPr>
        <w:t>Bangladesh</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same Vinasat satellite could provide coverage to Bangladesh, at between -1 and -2 dB from peak gain. Therefore, the analysis presented above is valid for the area around Bangladesh and we can repeat the simulations there.  The satellite elevation is lower at around 34°.</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 exclusion contours are shown in the figure below:</w:t>
      </w:r>
    </w:p>
    <w:p w:rsidR="00624DA4" w:rsidRPr="00932562" w:rsidRDefault="00624DA4" w:rsidP="00624DA4">
      <w:pPr>
        <w:spacing w:after="120"/>
        <w:ind w:left="624"/>
        <w:jc w:val="both"/>
        <w:rPr>
          <w:rFonts w:eastAsia="Times New Roman"/>
          <w:sz w:val="22"/>
          <w:szCs w:val="20"/>
          <w:lang w:val="en-GB"/>
        </w:rPr>
      </w:pPr>
    </w:p>
    <w:p w:rsidR="00624DA4" w:rsidRPr="00932562" w:rsidRDefault="00C65E6F" w:rsidP="00624DA4">
      <w:pPr>
        <w:spacing w:after="120"/>
        <w:ind w:left="624"/>
        <w:jc w:val="both"/>
        <w:rPr>
          <w:rFonts w:eastAsia="Times New Roman"/>
          <w:sz w:val="22"/>
          <w:szCs w:val="20"/>
          <w:lang w:val="en-GB"/>
        </w:rPr>
      </w:pPr>
      <w:r w:rsidRPr="00932562">
        <w:rPr>
          <w:rFonts w:eastAsia="Times New Roman"/>
          <w:noProof/>
          <w:sz w:val="22"/>
          <w:szCs w:val="20"/>
        </w:rPr>
        <w:drawing>
          <wp:inline distT="0" distB="0" distL="0" distR="0" wp14:anchorId="73590458" wp14:editId="39089D21">
            <wp:extent cx="5168188" cy="2399386"/>
            <wp:effectExtent l="0" t="0" r="0" b="1270"/>
            <wp:docPr id="6" name="Picture 6" descr="C:\Users\pzhao\Dropbox\GSMA\spectrum\APT\APG\APG15-3\c-band\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zhao\Dropbox\GSMA\spectrum\APT\APG\APG15-3\c-band\figur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788" cy="2402450"/>
                    </a:xfrm>
                    <a:prstGeom prst="rect">
                      <a:avLst/>
                    </a:prstGeom>
                    <a:noFill/>
                    <a:ln>
                      <a:noFill/>
                    </a:ln>
                  </pic:spPr>
                </pic:pic>
              </a:graphicData>
            </a:graphic>
          </wp:inline>
        </w:drawing>
      </w:r>
    </w:p>
    <w:p w:rsidR="00624DA4" w:rsidRPr="00932562" w:rsidRDefault="00624DA4" w:rsidP="00624DA4">
      <w:pPr>
        <w:spacing w:before="120" w:after="120"/>
        <w:jc w:val="center"/>
        <w:rPr>
          <w:rFonts w:eastAsia="Batang"/>
          <w:b/>
          <w:sz w:val="22"/>
          <w:szCs w:val="20"/>
          <w:lang w:val="en-GB" w:bidi="th-TH"/>
        </w:rPr>
      </w:pPr>
      <w:r w:rsidRPr="00932562">
        <w:rPr>
          <w:rFonts w:eastAsia="Batang"/>
          <w:b/>
          <w:sz w:val="22"/>
          <w:szCs w:val="20"/>
          <w:lang w:val="en-GB" w:bidi="th-TH"/>
        </w:rPr>
        <w:t xml:space="preserve">Figure </w:t>
      </w:r>
      <w:r w:rsidRPr="00932562">
        <w:rPr>
          <w:rFonts w:eastAsia="Batang"/>
          <w:b/>
          <w:sz w:val="22"/>
          <w:szCs w:val="20"/>
          <w:lang w:val="en-GB" w:bidi="th-TH"/>
        </w:rPr>
        <w:fldChar w:fldCharType="begin"/>
      </w:r>
      <w:r w:rsidRPr="00932562">
        <w:rPr>
          <w:rFonts w:eastAsia="Batang"/>
          <w:b/>
          <w:sz w:val="22"/>
          <w:szCs w:val="20"/>
          <w:lang w:val="en-GB" w:bidi="th-TH"/>
        </w:rPr>
        <w:instrText xml:space="preserve"> SEQ Figure \* ARABIC </w:instrText>
      </w:r>
      <w:r w:rsidRPr="00932562">
        <w:rPr>
          <w:rFonts w:eastAsia="Batang"/>
          <w:b/>
          <w:sz w:val="22"/>
          <w:szCs w:val="20"/>
          <w:lang w:val="en-GB" w:bidi="th-TH"/>
        </w:rPr>
        <w:fldChar w:fldCharType="separate"/>
      </w:r>
      <w:r w:rsidR="00BE0504">
        <w:rPr>
          <w:rFonts w:eastAsia="Batang"/>
          <w:b/>
          <w:noProof/>
          <w:sz w:val="22"/>
          <w:szCs w:val="20"/>
          <w:lang w:val="en-GB" w:bidi="th-TH"/>
        </w:rPr>
        <w:t>6</w:t>
      </w:r>
      <w:r w:rsidRPr="00932562">
        <w:rPr>
          <w:rFonts w:eastAsia="Batang"/>
          <w:b/>
          <w:sz w:val="22"/>
          <w:szCs w:val="20"/>
          <w:lang w:val="en-GB" w:bidi="th-TH"/>
        </w:rPr>
        <w:fldChar w:fldCharType="end"/>
      </w:r>
      <w:r w:rsidRPr="00932562">
        <w:rPr>
          <w:rFonts w:eastAsia="Batang"/>
          <w:b/>
          <w:sz w:val="22"/>
          <w:szCs w:val="20"/>
          <w:lang w:val="en-GB" w:bidi="th-TH"/>
        </w:rPr>
        <w:t xml:space="preserve"> - C/I (black contour) and I/N (red contour) based exclusion zones for single entry </w:t>
      </w:r>
      <w:r w:rsidR="00BE0504">
        <w:rPr>
          <w:rFonts w:eastAsia="Batang"/>
          <w:b/>
          <w:sz w:val="22"/>
          <w:szCs w:val="20"/>
          <w:lang w:val="en-GB" w:bidi="th-TH"/>
        </w:rPr>
        <w:t>micro</w:t>
      </w:r>
      <w:r w:rsidRPr="00932562">
        <w:rPr>
          <w:rFonts w:eastAsia="Batang"/>
          <w:b/>
          <w:sz w:val="22"/>
          <w:szCs w:val="20"/>
          <w:lang w:val="en-GB" w:bidi="th-TH"/>
        </w:rPr>
        <w:t xml:space="preserve"> cell outdoor base station deployed anywhere in the dense urban centre Bangladesh. The green circles have a radius 5 km from the </w:t>
      </w:r>
      <w:r w:rsidR="003A74EE" w:rsidRPr="00932562">
        <w:rPr>
          <w:rFonts w:eastAsia="Batang"/>
          <w:b/>
          <w:sz w:val="22"/>
          <w:szCs w:val="20"/>
          <w:lang w:val="en-GB" w:bidi="th-TH"/>
        </w:rPr>
        <w:t>centre</w:t>
      </w:r>
      <w:r w:rsidRPr="00932562">
        <w:rPr>
          <w:rFonts w:eastAsia="Batang"/>
          <w:b/>
          <w:sz w:val="22"/>
          <w:szCs w:val="20"/>
          <w:lang w:val="en-GB" w:bidi="th-TH"/>
        </w:rPr>
        <w:t xml:space="preserve"> of the proposed IMT License area</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These contours show the same sorts of gross features as Hanoi and KL. The C/I exclusion contour is up to 3.5 km from the licensed IMT area – we begin to see the effect of the earth station antenna roll-off in the north west, due to the lower elevation of the satellite from this area.</w:t>
      </w:r>
    </w:p>
    <w:p w:rsidR="00624DA4" w:rsidRPr="00932562" w:rsidRDefault="00624DA4" w:rsidP="00741138">
      <w:pPr>
        <w:pStyle w:val="ListParagraph"/>
        <w:keepNext/>
        <w:numPr>
          <w:ilvl w:val="0"/>
          <w:numId w:val="14"/>
        </w:numPr>
        <w:spacing w:before="120" w:after="120"/>
        <w:ind w:left="0" w:firstLine="0"/>
        <w:outlineLvl w:val="0"/>
        <w:rPr>
          <w:rFonts w:ascii="Arial" w:eastAsia="Times New Roman" w:hAnsi="Arial"/>
          <w:b/>
          <w:smallCaps/>
          <w:kern w:val="28"/>
          <w:sz w:val="28"/>
          <w:szCs w:val="20"/>
          <w:lang w:val="en-GB"/>
        </w:rPr>
      </w:pPr>
      <w:bookmarkStart w:id="17" w:name="_Toc388561199"/>
      <w:r w:rsidRPr="00932562">
        <w:rPr>
          <w:rFonts w:ascii="Arial" w:eastAsia="Times New Roman" w:hAnsi="Arial"/>
          <w:b/>
          <w:smallCaps/>
          <w:kern w:val="28"/>
          <w:sz w:val="28"/>
          <w:szCs w:val="20"/>
          <w:lang w:val="en-GB"/>
        </w:rPr>
        <w:t>Conclusions</w:t>
      </w:r>
      <w:bookmarkEnd w:id="17"/>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An approach to planning the coexistence of urban IMT and rural FSS C-band TV to 1.8 metre dishes produces results that are in stark contrast to the headline minimum separation distances that JTG 4-5-6-7 finds.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We have found that in three areas it would be possible to operate </w:t>
      </w:r>
      <w:r w:rsidR="00BE0504">
        <w:rPr>
          <w:rFonts w:eastAsia="Times New Roman"/>
          <w:sz w:val="22"/>
          <w:szCs w:val="20"/>
          <w:lang w:val="en-GB"/>
        </w:rPr>
        <w:t>micro</w:t>
      </w:r>
      <w:r w:rsidRPr="00932562">
        <w:rPr>
          <w:rFonts w:eastAsia="Times New Roman"/>
          <w:sz w:val="22"/>
          <w:szCs w:val="20"/>
          <w:lang w:val="en-GB"/>
        </w:rPr>
        <w:t xml:space="preserve"> cell outdoor IMT networks and small dish FSS receivers using a DVB-S2 service, with a separation distance of only 2.5-3.5 km. This means the IMT could operate in a dense urban centre and the FSS in the remoter rural areas or even sub-urban areas.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The difference is due to the way the question is posed. In JTG the question is ‘are there any FSS services that could </w:t>
      </w:r>
      <w:r w:rsidR="009E2173" w:rsidRPr="00932562">
        <w:rPr>
          <w:rFonts w:eastAsia="Times New Roman"/>
          <w:sz w:val="22"/>
          <w:szCs w:val="20"/>
          <w:lang w:val="en-GB"/>
        </w:rPr>
        <w:t xml:space="preserve">theoretically </w:t>
      </w:r>
      <w:r w:rsidRPr="00932562">
        <w:rPr>
          <w:rFonts w:eastAsia="Times New Roman"/>
          <w:sz w:val="22"/>
          <w:szCs w:val="20"/>
          <w:lang w:val="en-GB"/>
        </w:rPr>
        <w:t xml:space="preserve">suffer interference from any IMT network?’ In this study the question is ‘are there FSS services that can </w:t>
      </w:r>
      <w:r w:rsidR="009E2173" w:rsidRPr="00932562">
        <w:rPr>
          <w:rFonts w:eastAsia="Times New Roman"/>
          <w:sz w:val="22"/>
          <w:szCs w:val="20"/>
          <w:lang w:val="en-GB"/>
        </w:rPr>
        <w:t xml:space="preserve">in practice </w:t>
      </w:r>
      <w:r w:rsidRPr="00932562">
        <w:rPr>
          <w:rFonts w:eastAsia="Times New Roman"/>
          <w:sz w:val="22"/>
          <w:szCs w:val="20"/>
          <w:lang w:val="en-GB"/>
        </w:rPr>
        <w:t>share with any IMT networks?’</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 xml:space="preserve">Direct to Home TV is an important part of the </w:t>
      </w:r>
      <w:r w:rsidR="00263F85" w:rsidRPr="00932562">
        <w:rPr>
          <w:rFonts w:eastAsia="Times New Roman"/>
          <w:sz w:val="22"/>
          <w:szCs w:val="20"/>
          <w:lang w:val="en-GB"/>
        </w:rPr>
        <w:t>“</w:t>
      </w:r>
      <w:r w:rsidRPr="00932562">
        <w:rPr>
          <w:rFonts w:eastAsia="Times New Roman"/>
          <w:sz w:val="22"/>
          <w:szCs w:val="20"/>
          <w:lang w:val="en-GB"/>
        </w:rPr>
        <w:t>FSS</w:t>
      </w:r>
      <w:r w:rsidR="00263F85" w:rsidRPr="00932562">
        <w:rPr>
          <w:rFonts w:eastAsia="Times New Roman"/>
          <w:sz w:val="22"/>
          <w:szCs w:val="20"/>
          <w:lang w:val="en-GB"/>
        </w:rPr>
        <w:t>”</w:t>
      </w:r>
      <w:r w:rsidRPr="00932562">
        <w:rPr>
          <w:rFonts w:eastAsia="Times New Roman"/>
          <w:sz w:val="22"/>
          <w:szCs w:val="20"/>
          <w:lang w:val="en-GB"/>
        </w:rPr>
        <w:t xml:space="preserve"> business model, providing a large part of the revenue earned at C-band and also providing an important service to end users where other means of delivery are un-economic or even impossible to install. This </w:t>
      </w:r>
      <w:r w:rsidR="00263F85" w:rsidRPr="00932562">
        <w:rPr>
          <w:rFonts w:eastAsia="Times New Roman"/>
          <w:sz w:val="22"/>
          <w:szCs w:val="20"/>
          <w:lang w:val="en-GB"/>
        </w:rPr>
        <w:t>study demonstrates</w:t>
      </w:r>
      <w:r w:rsidRPr="00932562">
        <w:rPr>
          <w:rFonts w:eastAsia="Times New Roman"/>
          <w:sz w:val="22"/>
          <w:szCs w:val="20"/>
          <w:lang w:val="en-GB"/>
        </w:rPr>
        <w:t xml:space="preserve"> that it </w:t>
      </w:r>
      <w:r w:rsidR="00263F85" w:rsidRPr="00932562">
        <w:rPr>
          <w:rFonts w:eastAsia="Times New Roman"/>
          <w:sz w:val="22"/>
          <w:szCs w:val="20"/>
          <w:lang w:val="en-GB"/>
        </w:rPr>
        <w:t xml:space="preserve">is </w:t>
      </w:r>
      <w:r w:rsidRPr="00932562">
        <w:rPr>
          <w:rFonts w:eastAsia="Times New Roman"/>
          <w:sz w:val="22"/>
          <w:szCs w:val="20"/>
          <w:lang w:val="en-GB"/>
        </w:rPr>
        <w:t xml:space="preserve">reasonable that, in some countries, DTH TV via C-band satellite could co-exist on a national level with </w:t>
      </w:r>
      <w:r w:rsidR="00BE0504">
        <w:rPr>
          <w:rFonts w:eastAsia="Times New Roman"/>
          <w:sz w:val="22"/>
          <w:szCs w:val="20"/>
          <w:lang w:val="en-GB"/>
        </w:rPr>
        <w:t>micro</w:t>
      </w:r>
      <w:r w:rsidRPr="00932562">
        <w:rPr>
          <w:rFonts w:eastAsia="Times New Roman"/>
          <w:sz w:val="22"/>
          <w:szCs w:val="20"/>
          <w:lang w:val="en-GB"/>
        </w:rPr>
        <w:t xml:space="preserve"> cell IMT networks – each providing service to its target market.</w:t>
      </w: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lastRenderedPageBreak/>
        <w:t>The regulatory regime that is proposed in JTG 4-5-6-7 would preclude this scenario, and prevent the national administration from providing the benefits discussed at relatively little risk.</w:t>
      </w:r>
    </w:p>
    <w:p w:rsidR="00624DA4" w:rsidRPr="00932562" w:rsidRDefault="00624DA4" w:rsidP="00741138">
      <w:pPr>
        <w:pStyle w:val="ListParagraph"/>
        <w:keepNext/>
        <w:numPr>
          <w:ilvl w:val="0"/>
          <w:numId w:val="14"/>
        </w:numPr>
        <w:spacing w:before="120" w:after="120"/>
        <w:ind w:left="0" w:firstLine="0"/>
        <w:outlineLvl w:val="0"/>
        <w:rPr>
          <w:rFonts w:ascii="Arial" w:eastAsia="Times New Roman" w:hAnsi="Arial"/>
          <w:b/>
          <w:smallCaps/>
          <w:kern w:val="28"/>
          <w:sz w:val="28"/>
          <w:szCs w:val="20"/>
          <w:lang w:val="en-GB"/>
        </w:rPr>
      </w:pPr>
      <w:bookmarkStart w:id="18" w:name="_Toc388561200"/>
      <w:r w:rsidRPr="00932562">
        <w:rPr>
          <w:rFonts w:ascii="Arial" w:eastAsia="Times New Roman" w:hAnsi="Arial"/>
          <w:b/>
          <w:smallCaps/>
          <w:kern w:val="28"/>
          <w:sz w:val="28"/>
          <w:szCs w:val="20"/>
          <w:lang w:val="en-GB"/>
        </w:rPr>
        <w:t>References</w:t>
      </w:r>
      <w:bookmarkEnd w:id="18"/>
    </w:p>
    <w:p w:rsidR="00624DA4" w:rsidRPr="00932562" w:rsidRDefault="00624DA4" w:rsidP="00624DA4">
      <w:pPr>
        <w:spacing w:after="120"/>
        <w:ind w:left="624"/>
        <w:jc w:val="both"/>
        <w:rPr>
          <w:rFonts w:eastAsia="Times New Roman"/>
          <w:sz w:val="22"/>
          <w:szCs w:val="20"/>
          <w:lang w:val="en-GB"/>
        </w:rPr>
      </w:pPr>
    </w:p>
    <w:p w:rsidR="00624DA4" w:rsidRPr="00932562" w:rsidRDefault="00624DA4" w:rsidP="00624DA4">
      <w:pPr>
        <w:spacing w:after="120"/>
        <w:ind w:left="624"/>
        <w:jc w:val="both"/>
        <w:rPr>
          <w:rFonts w:eastAsia="Times New Roman"/>
          <w:sz w:val="22"/>
          <w:szCs w:val="20"/>
          <w:lang w:val="en-GB"/>
        </w:rPr>
      </w:pPr>
      <w:r w:rsidRPr="00932562">
        <w:rPr>
          <w:rFonts w:eastAsia="Times New Roman"/>
          <w:sz w:val="22"/>
          <w:szCs w:val="20"/>
          <w:lang w:val="en-GB"/>
        </w:rPr>
        <w:t>1 - (reference http://www.satellite-calculations.com/Satellite/Downlink.htm , accessed 14</w:t>
      </w:r>
      <w:r w:rsidRPr="00932562">
        <w:rPr>
          <w:rFonts w:eastAsia="Times New Roman"/>
          <w:sz w:val="22"/>
          <w:szCs w:val="20"/>
          <w:vertAlign w:val="superscript"/>
          <w:lang w:val="en-GB"/>
        </w:rPr>
        <w:t>th</w:t>
      </w:r>
      <w:r w:rsidRPr="00932562">
        <w:rPr>
          <w:rFonts w:eastAsia="Times New Roman"/>
          <w:sz w:val="22"/>
          <w:szCs w:val="20"/>
          <w:lang w:val="en-GB"/>
        </w:rPr>
        <w:t xml:space="preserve"> May 2014)</w:t>
      </w:r>
    </w:p>
    <w:p w:rsidR="00624DA4" w:rsidRPr="00932562" w:rsidRDefault="00624DA4" w:rsidP="00624DA4">
      <w:pPr>
        <w:spacing w:after="120"/>
        <w:ind w:left="624"/>
        <w:jc w:val="both"/>
        <w:rPr>
          <w:rFonts w:eastAsia="Times New Roman"/>
          <w:sz w:val="22"/>
          <w:szCs w:val="20"/>
          <w:lang w:val="en-GB"/>
        </w:rPr>
      </w:pPr>
    </w:p>
    <w:p w:rsidR="00031DE7" w:rsidRPr="00932562" w:rsidRDefault="00031DE7" w:rsidP="00741138">
      <w:pPr>
        <w:keepNext/>
        <w:spacing w:before="120" w:after="120"/>
        <w:outlineLvl w:val="0"/>
        <w:rPr>
          <w:snapToGrid w:val="0"/>
          <w:lang w:val="en-GB"/>
        </w:rPr>
      </w:pPr>
    </w:p>
    <w:sectPr w:rsidR="00031DE7" w:rsidRPr="00932562" w:rsidSect="00DB0A68">
      <w:headerReference w:type="default" r:id="rId16"/>
      <w:footerReference w:type="even" r:id="rId17"/>
      <w:footerReference w:type="default" r:id="rId18"/>
      <w:footerReference w:type="first" r:id="rId19"/>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7C" w:rsidRDefault="005F5C7C">
      <w:r>
        <w:separator/>
      </w:r>
    </w:p>
  </w:endnote>
  <w:endnote w:type="continuationSeparator" w:id="0">
    <w:p w:rsidR="005F5C7C" w:rsidRDefault="005F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C3" w:rsidRDefault="00EC5DC3"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5DC3" w:rsidRDefault="00EC5DC3"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C3" w:rsidRDefault="00EC5DC3" w:rsidP="002C7EA9">
    <w:pPr>
      <w:pStyle w:val="Footer"/>
      <w:ind w:right="360"/>
      <w:jc w:val="right"/>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625D88">
      <w:rPr>
        <w:rStyle w:val="PageNumber"/>
        <w:noProof/>
      </w:rPr>
      <w:t>3</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625D88">
      <w:rPr>
        <w:rStyle w:val="PageNumber"/>
        <w:noProof/>
      </w:rPr>
      <w:t>13</w:t>
    </w:r>
    <w:r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EC5DC3">
      <w:trPr>
        <w:cantSplit/>
        <w:trHeight w:val="204"/>
        <w:jc w:val="center"/>
      </w:trPr>
      <w:tc>
        <w:tcPr>
          <w:tcW w:w="1617" w:type="dxa"/>
          <w:tcBorders>
            <w:top w:val="single" w:sz="12" w:space="0" w:color="auto"/>
          </w:tcBorders>
        </w:tcPr>
        <w:p w:rsidR="00EC5DC3" w:rsidRDefault="00EC5DC3" w:rsidP="00762576">
          <w:pPr>
            <w:rPr>
              <w:b/>
              <w:bCs/>
            </w:rPr>
          </w:pPr>
          <w:r>
            <w:rPr>
              <w:b/>
              <w:bCs/>
            </w:rPr>
            <w:t>Contact:</w:t>
          </w:r>
        </w:p>
      </w:tc>
      <w:tc>
        <w:tcPr>
          <w:tcW w:w="4394" w:type="dxa"/>
          <w:tcBorders>
            <w:top w:val="single" w:sz="12" w:space="0" w:color="auto"/>
          </w:tcBorders>
        </w:tcPr>
        <w:p w:rsidR="00EC5DC3" w:rsidRDefault="00EC5DC3" w:rsidP="00762576">
          <w:pPr>
            <w:pStyle w:val="Equation"/>
            <w:tabs>
              <w:tab w:val="clear" w:pos="4820"/>
              <w:tab w:val="clear" w:pos="9639"/>
              <w:tab w:val="left" w:pos="1191"/>
              <w:tab w:val="left" w:pos="1588"/>
              <w:tab w:val="left" w:pos="1985"/>
            </w:tabs>
            <w:spacing w:beforeLines="0" w:before="0"/>
            <w:rPr>
              <w:rFonts w:eastAsia="Batang"/>
              <w:sz w:val="22"/>
              <w:lang w:eastAsia="ko-KR"/>
            </w:rPr>
          </w:pPr>
          <w:r>
            <w:rPr>
              <w:rFonts w:eastAsia="Batang"/>
              <w:sz w:val="22"/>
              <w:lang w:eastAsia="ko-KR"/>
            </w:rPr>
            <w:t>Peng ZHAO</w:t>
          </w:r>
        </w:p>
        <w:p w:rsidR="00EC5DC3" w:rsidRDefault="00EC5DC3" w:rsidP="00762576">
          <w:pPr>
            <w:pStyle w:val="Equation"/>
            <w:tabs>
              <w:tab w:val="clear" w:pos="4820"/>
              <w:tab w:val="clear" w:pos="9639"/>
              <w:tab w:val="left" w:pos="1191"/>
              <w:tab w:val="left" w:pos="1588"/>
              <w:tab w:val="left" w:pos="1985"/>
            </w:tabs>
            <w:spacing w:beforeLines="0" w:before="0"/>
            <w:rPr>
              <w:rFonts w:eastAsia="Batang"/>
              <w:sz w:val="22"/>
              <w:lang w:eastAsia="ko-KR"/>
            </w:rPr>
          </w:pPr>
          <w:r>
            <w:rPr>
              <w:rFonts w:eastAsia="Batang"/>
              <w:sz w:val="22"/>
              <w:lang w:eastAsia="ko-KR"/>
            </w:rPr>
            <w:t>GSM Association, Hong Kong</w:t>
          </w:r>
        </w:p>
        <w:p w:rsidR="00EC5DC3" w:rsidRDefault="00EC5DC3" w:rsidP="00762576">
          <w:pPr>
            <w:rPr>
              <w:rFonts w:eastAsia="Batang"/>
            </w:rPr>
          </w:pPr>
        </w:p>
      </w:tc>
      <w:tc>
        <w:tcPr>
          <w:tcW w:w="3912" w:type="dxa"/>
          <w:tcBorders>
            <w:top w:val="single" w:sz="12" w:space="0" w:color="auto"/>
          </w:tcBorders>
        </w:tcPr>
        <w:p w:rsidR="00EC5DC3" w:rsidRDefault="00EC5DC3" w:rsidP="00762576">
          <w:pPr>
            <w:rPr>
              <w:lang w:eastAsia="ja-JP"/>
            </w:rPr>
          </w:pPr>
          <w:r>
            <w:t>Email</w:t>
          </w:r>
          <w:r>
            <w:rPr>
              <w:rFonts w:hint="eastAsia"/>
            </w:rPr>
            <w:t xml:space="preserve">: </w:t>
          </w:r>
          <w:r>
            <w:t>pzhao@gsma.com</w:t>
          </w:r>
        </w:p>
      </w:tc>
    </w:tr>
  </w:tbl>
  <w:p w:rsidR="00EC5DC3" w:rsidRDefault="00EC5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7C" w:rsidRDefault="005F5C7C">
      <w:r>
        <w:separator/>
      </w:r>
    </w:p>
  </w:footnote>
  <w:footnote w:type="continuationSeparator" w:id="0">
    <w:p w:rsidR="005F5C7C" w:rsidRDefault="005F5C7C">
      <w:r>
        <w:continuationSeparator/>
      </w:r>
    </w:p>
  </w:footnote>
  <w:footnote w:id="1">
    <w:p w:rsidR="00EC5DC3" w:rsidRPr="00A43DBA" w:rsidRDefault="00EC5DC3" w:rsidP="00F455F1">
      <w:pPr>
        <w:pStyle w:val="FootnoteText"/>
        <w:rPr>
          <w:lang w:val="en-GB"/>
        </w:rPr>
      </w:pPr>
      <w:r>
        <w:rPr>
          <w:rStyle w:val="FootnoteReference"/>
        </w:rPr>
        <w:footnoteRef/>
      </w:r>
      <w:r>
        <w:t xml:space="preserve"> </w:t>
      </w:r>
      <w:r w:rsidRPr="00932562">
        <w:rPr>
          <w:sz w:val="18"/>
          <w:szCs w:val="18"/>
        </w:rPr>
        <w:t xml:space="preserve">The Frontier Economic study included in </w:t>
      </w:r>
      <w:r w:rsidRPr="00932562">
        <w:rPr>
          <w:sz w:val="18"/>
          <w:szCs w:val="18"/>
          <w:lang w:val="en-GB"/>
        </w:rPr>
        <w:t xml:space="preserve">GSMA submission </w:t>
      </w:r>
      <w:hyperlink r:id="rId1" w:history="1">
        <w:r w:rsidRPr="00932562">
          <w:rPr>
            <w:rStyle w:val="Hyperlink"/>
            <w:sz w:val="18"/>
            <w:szCs w:val="18"/>
            <w:lang w:val="en-GB"/>
          </w:rPr>
          <w:t>343</w:t>
        </w:r>
      </w:hyperlink>
      <w:r w:rsidRPr="00932562">
        <w:rPr>
          <w:rStyle w:val="Hyperlink"/>
          <w:sz w:val="18"/>
          <w:szCs w:val="18"/>
          <w:lang w:val="en-GB"/>
        </w:rPr>
        <w:t xml:space="preserve"> </w:t>
      </w:r>
      <w:r w:rsidRPr="00932562">
        <w:rPr>
          <w:sz w:val="18"/>
          <w:szCs w:val="18"/>
          <w:lang w:val="en-GB"/>
        </w:rPr>
        <w:t>to JTG 4-5-6-7 shows the benefits exceed costs by approximately eight times, would increase government revenue by $52 billion, and create in excess of 100,000 new jobs.</w:t>
      </w:r>
    </w:p>
  </w:footnote>
  <w:footnote w:id="2">
    <w:p w:rsidR="00471737" w:rsidRPr="003A74EE" w:rsidRDefault="00471737">
      <w:pPr>
        <w:pStyle w:val="FootnoteText"/>
        <w:rPr>
          <w:lang w:val="en-GB"/>
        </w:rPr>
      </w:pPr>
      <w:r>
        <w:rPr>
          <w:rStyle w:val="FootnoteReference"/>
        </w:rPr>
        <w:footnoteRef/>
      </w:r>
      <w:r>
        <w:t xml:space="preserve"> </w:t>
      </w:r>
      <w:r w:rsidRPr="00210B43">
        <w:t>Sharing studies between IMT-Advanced systems and geostationary satellite networks in the fixed-satellite service in the 3 400-4 200 MHz and 4 500- 4 800 MHz frequency bands in the WRC study cycle leading to WRC-15</w:t>
      </w:r>
      <w:r w:rsidRPr="00002697">
        <w:rPr>
          <w:lang w:val="en-GB"/>
        </w:rPr>
        <w:t xml:space="preserve">, </w:t>
      </w:r>
      <w:r w:rsidRPr="000B271C">
        <w:rPr>
          <w:b/>
          <w:lang w:val="en-GB"/>
        </w:rPr>
        <w:t>Attachment 3</w:t>
      </w:r>
      <w:r>
        <w:rPr>
          <w:lang w:val="en-GB"/>
        </w:rPr>
        <w:t xml:space="preserve"> of </w:t>
      </w:r>
      <w:hyperlink r:id="rId2" w:history="1">
        <w:r w:rsidRPr="00E022AE">
          <w:rPr>
            <w:rStyle w:val="Hyperlink"/>
            <w:lang w:val="en-GB"/>
          </w:rPr>
          <w:t>Annex 11 of JTG 4-5-6-7/584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DC3" w:rsidRDefault="00EC5DC3" w:rsidP="00C15633">
    <w:pPr>
      <w:pStyle w:val="Header"/>
      <w:tabs>
        <w:tab w:val="center" w:pos="4763"/>
        <w:tab w:val="left" w:pos="5820"/>
      </w:tabs>
      <w:rPr>
        <w:lang w:eastAsia="ko-KR"/>
      </w:rPr>
    </w:pPr>
    <w:r>
      <w:rPr>
        <w:lang w:eastAsia="ko-KR"/>
      </w:rPr>
      <w:tab/>
    </w:r>
    <w:r>
      <w:rPr>
        <w:rFonts w:hint="eastAsia"/>
        <w:lang w:eastAsia="ko-KR"/>
      </w:rPr>
      <w:t>A</w:t>
    </w:r>
    <w:r>
      <w:rPr>
        <w:lang w:eastAsia="ko-KR"/>
      </w:rPr>
      <w:t>PG15</w:t>
    </w:r>
    <w:r>
      <w:rPr>
        <w:rFonts w:hint="eastAsia"/>
        <w:lang w:eastAsia="ko-KR"/>
      </w:rPr>
      <w:t>-</w:t>
    </w:r>
    <w:r>
      <w:rPr>
        <w:lang w:eastAsia="ko-KR"/>
      </w:rPr>
      <w:t>3/</w:t>
    </w:r>
    <w:r w:rsidR="001F20BF">
      <w:rPr>
        <w:lang w:eastAsia="ko-KR"/>
      </w:rPr>
      <w:t>INF</w:t>
    </w:r>
    <w:r>
      <w:rPr>
        <w:lang w:eastAsia="ko-KR"/>
      </w:rPr>
      <w:t>-</w:t>
    </w:r>
    <w:r w:rsidR="001F20BF">
      <w:rPr>
        <w:lang w:eastAsia="ko-KR"/>
      </w:rPr>
      <w:t>03</w:t>
    </w:r>
  </w:p>
  <w:p w:rsidR="00EC5DC3" w:rsidRDefault="00EC5DC3"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C7B"/>
    <w:multiLevelType w:val="hybridMultilevel"/>
    <w:tmpl w:val="F192F1D4"/>
    <w:lvl w:ilvl="0" w:tplc="0409000F">
      <w:start w:val="1"/>
      <w:numFmt w:val="decimal"/>
      <w:lvlText w:val="%1."/>
      <w:lvlJc w:val="left"/>
      <w:pPr>
        <w:ind w:left="1344" w:hanging="360"/>
      </w:pPr>
    </w:lvl>
    <w:lvl w:ilvl="1" w:tplc="04090019">
      <w:start w:val="1"/>
      <w:numFmt w:val="lowerLetter"/>
      <w:lvlText w:val="%2."/>
      <w:lvlJc w:val="left"/>
      <w:pPr>
        <w:ind w:left="2064" w:hanging="360"/>
      </w:p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0409000F">
      <w:start w:val="1"/>
      <w:numFmt w:val="decimal"/>
      <w:lvlText w:val="%7."/>
      <w:lvlJc w:val="left"/>
      <w:pPr>
        <w:ind w:left="5664" w:hanging="360"/>
      </w:pPr>
    </w:lvl>
    <w:lvl w:ilvl="7" w:tplc="04090019">
      <w:start w:val="1"/>
      <w:numFmt w:val="lowerLetter"/>
      <w:lvlText w:val="%8."/>
      <w:lvlJc w:val="left"/>
      <w:pPr>
        <w:ind w:left="6384" w:hanging="360"/>
      </w:pPr>
    </w:lvl>
    <w:lvl w:ilvl="8" w:tplc="0409001B">
      <w:start w:val="1"/>
      <w:numFmt w:val="lowerRoman"/>
      <w:lvlText w:val="%9."/>
      <w:lvlJc w:val="right"/>
      <w:pPr>
        <w:ind w:left="7104" w:hanging="180"/>
      </w:pPr>
    </w:lvl>
  </w:abstractNum>
  <w:abstractNum w:abstractNumId="1">
    <w:nsid w:val="0BA90D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4">
    <w:nsid w:val="1F677ADB"/>
    <w:multiLevelType w:val="hybridMultilevel"/>
    <w:tmpl w:val="A50C5BF4"/>
    <w:lvl w:ilvl="0" w:tplc="0809000F">
      <w:start w:val="1"/>
      <w:numFmt w:val="decimal"/>
      <w:lvlText w:val="%1."/>
      <w:lvlJc w:val="left"/>
      <w:pPr>
        <w:ind w:left="-1065" w:hanging="360"/>
      </w:pPr>
      <w:rPr>
        <w:rFonts w:hint="default"/>
      </w:rPr>
    </w:lvl>
    <w:lvl w:ilvl="1" w:tplc="08090019" w:tentative="1">
      <w:start w:val="1"/>
      <w:numFmt w:val="lowerLetter"/>
      <w:lvlText w:val="%2."/>
      <w:lvlJc w:val="left"/>
      <w:pPr>
        <w:ind w:left="-345" w:hanging="360"/>
      </w:pPr>
    </w:lvl>
    <w:lvl w:ilvl="2" w:tplc="0809001B" w:tentative="1">
      <w:start w:val="1"/>
      <w:numFmt w:val="lowerRoman"/>
      <w:lvlText w:val="%3."/>
      <w:lvlJc w:val="right"/>
      <w:pPr>
        <w:ind w:left="375" w:hanging="180"/>
      </w:pPr>
    </w:lvl>
    <w:lvl w:ilvl="3" w:tplc="0809000F" w:tentative="1">
      <w:start w:val="1"/>
      <w:numFmt w:val="decimal"/>
      <w:lvlText w:val="%4."/>
      <w:lvlJc w:val="left"/>
      <w:pPr>
        <w:ind w:left="1095" w:hanging="360"/>
      </w:pPr>
    </w:lvl>
    <w:lvl w:ilvl="4" w:tplc="08090019" w:tentative="1">
      <w:start w:val="1"/>
      <w:numFmt w:val="lowerLetter"/>
      <w:lvlText w:val="%5."/>
      <w:lvlJc w:val="left"/>
      <w:pPr>
        <w:ind w:left="1815" w:hanging="360"/>
      </w:pPr>
    </w:lvl>
    <w:lvl w:ilvl="5" w:tplc="0809001B" w:tentative="1">
      <w:start w:val="1"/>
      <w:numFmt w:val="lowerRoman"/>
      <w:lvlText w:val="%6."/>
      <w:lvlJc w:val="right"/>
      <w:pPr>
        <w:ind w:left="2535" w:hanging="180"/>
      </w:pPr>
    </w:lvl>
    <w:lvl w:ilvl="6" w:tplc="0809000F" w:tentative="1">
      <w:start w:val="1"/>
      <w:numFmt w:val="decimal"/>
      <w:lvlText w:val="%7."/>
      <w:lvlJc w:val="left"/>
      <w:pPr>
        <w:ind w:left="3255" w:hanging="360"/>
      </w:pPr>
    </w:lvl>
    <w:lvl w:ilvl="7" w:tplc="08090019" w:tentative="1">
      <w:start w:val="1"/>
      <w:numFmt w:val="lowerLetter"/>
      <w:lvlText w:val="%8."/>
      <w:lvlJc w:val="left"/>
      <w:pPr>
        <w:ind w:left="3975" w:hanging="360"/>
      </w:pPr>
    </w:lvl>
    <w:lvl w:ilvl="8" w:tplc="0809001B" w:tentative="1">
      <w:start w:val="1"/>
      <w:numFmt w:val="lowerRoman"/>
      <w:lvlText w:val="%9."/>
      <w:lvlJc w:val="right"/>
      <w:pPr>
        <w:ind w:left="4695" w:hanging="180"/>
      </w:pPr>
    </w:lvl>
  </w:abstractNum>
  <w:abstractNum w:abstractNumId="5">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2C545779"/>
    <w:multiLevelType w:val="hybridMultilevel"/>
    <w:tmpl w:val="CA943B72"/>
    <w:lvl w:ilvl="0" w:tplc="8766DAF0">
      <w:start w:val="1"/>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nsid w:val="42561765"/>
    <w:multiLevelType w:val="hybridMultilevel"/>
    <w:tmpl w:val="403A5988"/>
    <w:lvl w:ilvl="0" w:tplc="0409000F">
      <w:start w:val="1"/>
      <w:numFmt w:val="decimal"/>
      <w:lvlText w:val="%1."/>
      <w:lvlJc w:val="left"/>
      <w:pPr>
        <w:ind w:left="1344" w:hanging="360"/>
      </w:pPr>
    </w:lvl>
    <w:lvl w:ilvl="1" w:tplc="04090019">
      <w:start w:val="1"/>
      <w:numFmt w:val="lowerLetter"/>
      <w:lvlText w:val="%2."/>
      <w:lvlJc w:val="left"/>
      <w:pPr>
        <w:ind w:left="2064" w:hanging="360"/>
      </w:p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0409000F">
      <w:start w:val="1"/>
      <w:numFmt w:val="decimal"/>
      <w:lvlText w:val="%7."/>
      <w:lvlJc w:val="left"/>
      <w:pPr>
        <w:ind w:left="5664" w:hanging="360"/>
      </w:pPr>
    </w:lvl>
    <w:lvl w:ilvl="7" w:tplc="04090019">
      <w:start w:val="1"/>
      <w:numFmt w:val="lowerLetter"/>
      <w:lvlText w:val="%8."/>
      <w:lvlJc w:val="left"/>
      <w:pPr>
        <w:ind w:left="6384" w:hanging="360"/>
      </w:pPr>
    </w:lvl>
    <w:lvl w:ilvl="8" w:tplc="0409001B">
      <w:start w:val="1"/>
      <w:numFmt w:val="lowerRoman"/>
      <w:lvlText w:val="%9."/>
      <w:lvlJc w:val="right"/>
      <w:pPr>
        <w:ind w:left="7104" w:hanging="180"/>
      </w:pPr>
    </w:lvl>
  </w:abstractNum>
  <w:abstractNum w:abstractNumId="12">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nsid w:val="75D24AEA"/>
    <w:multiLevelType w:val="multilevel"/>
    <w:tmpl w:val="52D2BB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6"/>
  </w:num>
  <w:num w:numId="3">
    <w:abstractNumId w:val="5"/>
  </w:num>
  <w:num w:numId="4">
    <w:abstractNumId w:val="12"/>
  </w:num>
  <w:num w:numId="5">
    <w:abstractNumId w:val="8"/>
  </w:num>
  <w:num w:numId="6">
    <w:abstractNumId w:val="10"/>
  </w:num>
  <w:num w:numId="7">
    <w:abstractNumId w:val="3"/>
  </w:num>
  <w:num w:numId="8">
    <w:abstractNumId w:val="2"/>
  </w:num>
  <w:num w:numId="9">
    <w:abstractNumId w:val="7"/>
  </w:num>
  <w:num w:numId="10">
    <w:abstractNumId w:val="1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o Ercole">
    <w15:presenceInfo w15:providerId="AD" w15:userId="S-1-5-21-3346166985-1548841365-2365452741-4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834"/>
    <w:rsid w:val="00002697"/>
    <w:rsid w:val="000110CC"/>
    <w:rsid w:val="00016388"/>
    <w:rsid w:val="00027298"/>
    <w:rsid w:val="00031DE7"/>
    <w:rsid w:val="0003595B"/>
    <w:rsid w:val="000478D6"/>
    <w:rsid w:val="0005769C"/>
    <w:rsid w:val="000713CF"/>
    <w:rsid w:val="00073754"/>
    <w:rsid w:val="00084A54"/>
    <w:rsid w:val="0009175E"/>
    <w:rsid w:val="000A5418"/>
    <w:rsid w:val="000B6CC7"/>
    <w:rsid w:val="000B7EBF"/>
    <w:rsid w:val="000F517C"/>
    <w:rsid w:val="000F5540"/>
    <w:rsid w:val="001032FA"/>
    <w:rsid w:val="001043DD"/>
    <w:rsid w:val="00113A32"/>
    <w:rsid w:val="0012715F"/>
    <w:rsid w:val="001539DD"/>
    <w:rsid w:val="0018080A"/>
    <w:rsid w:val="00196568"/>
    <w:rsid w:val="001A2F16"/>
    <w:rsid w:val="001B124A"/>
    <w:rsid w:val="001B18C2"/>
    <w:rsid w:val="001B46D1"/>
    <w:rsid w:val="001C19F3"/>
    <w:rsid w:val="001D5D7E"/>
    <w:rsid w:val="001E4AED"/>
    <w:rsid w:val="001F20BF"/>
    <w:rsid w:val="001F4EDA"/>
    <w:rsid w:val="0020306E"/>
    <w:rsid w:val="002053C2"/>
    <w:rsid w:val="0020746C"/>
    <w:rsid w:val="00246BC7"/>
    <w:rsid w:val="00254A1B"/>
    <w:rsid w:val="00255024"/>
    <w:rsid w:val="0026094B"/>
    <w:rsid w:val="00261869"/>
    <w:rsid w:val="00263F85"/>
    <w:rsid w:val="0026537C"/>
    <w:rsid w:val="002719AC"/>
    <w:rsid w:val="0028454D"/>
    <w:rsid w:val="00290DAE"/>
    <w:rsid w:val="00291C9E"/>
    <w:rsid w:val="002926D4"/>
    <w:rsid w:val="002A1B02"/>
    <w:rsid w:val="002B670F"/>
    <w:rsid w:val="002C07DA"/>
    <w:rsid w:val="002C665F"/>
    <w:rsid w:val="002C7EA9"/>
    <w:rsid w:val="002F2D94"/>
    <w:rsid w:val="00342F20"/>
    <w:rsid w:val="0034751F"/>
    <w:rsid w:val="003552A4"/>
    <w:rsid w:val="003574EB"/>
    <w:rsid w:val="003809C7"/>
    <w:rsid w:val="003A74EE"/>
    <w:rsid w:val="003B6263"/>
    <w:rsid w:val="003C64A7"/>
    <w:rsid w:val="003D3FDA"/>
    <w:rsid w:val="003F2C43"/>
    <w:rsid w:val="00420822"/>
    <w:rsid w:val="0042215E"/>
    <w:rsid w:val="00423420"/>
    <w:rsid w:val="00446834"/>
    <w:rsid w:val="0045458F"/>
    <w:rsid w:val="004633B4"/>
    <w:rsid w:val="00463EE9"/>
    <w:rsid w:val="00470CEE"/>
    <w:rsid w:val="00471737"/>
    <w:rsid w:val="00475E43"/>
    <w:rsid w:val="004821DE"/>
    <w:rsid w:val="00486D65"/>
    <w:rsid w:val="004955FC"/>
    <w:rsid w:val="004B3553"/>
    <w:rsid w:val="004C4A45"/>
    <w:rsid w:val="004C52B1"/>
    <w:rsid w:val="004D1CFE"/>
    <w:rsid w:val="004E2B2B"/>
    <w:rsid w:val="00530E8C"/>
    <w:rsid w:val="0053291B"/>
    <w:rsid w:val="00535019"/>
    <w:rsid w:val="00545933"/>
    <w:rsid w:val="00557544"/>
    <w:rsid w:val="00560289"/>
    <w:rsid w:val="005611C6"/>
    <w:rsid w:val="005613E0"/>
    <w:rsid w:val="00587875"/>
    <w:rsid w:val="00596F44"/>
    <w:rsid w:val="005A42FF"/>
    <w:rsid w:val="005D4DD7"/>
    <w:rsid w:val="005F5C7C"/>
    <w:rsid w:val="006053B5"/>
    <w:rsid w:val="00605F9E"/>
    <w:rsid w:val="00607E2B"/>
    <w:rsid w:val="00623CE1"/>
    <w:rsid w:val="00624DA4"/>
    <w:rsid w:val="00625D88"/>
    <w:rsid w:val="0063062B"/>
    <w:rsid w:val="00640CF7"/>
    <w:rsid w:val="0064244B"/>
    <w:rsid w:val="00666846"/>
    <w:rsid w:val="00667229"/>
    <w:rsid w:val="00682BE5"/>
    <w:rsid w:val="00690FED"/>
    <w:rsid w:val="006939A5"/>
    <w:rsid w:val="0069705A"/>
    <w:rsid w:val="006A6993"/>
    <w:rsid w:val="00706F25"/>
    <w:rsid w:val="00712451"/>
    <w:rsid w:val="00726B07"/>
    <w:rsid w:val="00732F08"/>
    <w:rsid w:val="00741138"/>
    <w:rsid w:val="0074190C"/>
    <w:rsid w:val="00762576"/>
    <w:rsid w:val="00791060"/>
    <w:rsid w:val="007B5626"/>
    <w:rsid w:val="007B6ACF"/>
    <w:rsid w:val="0080570B"/>
    <w:rsid w:val="008148E1"/>
    <w:rsid w:val="008319BF"/>
    <w:rsid w:val="00852E28"/>
    <w:rsid w:val="008548D9"/>
    <w:rsid w:val="0087616B"/>
    <w:rsid w:val="008855C2"/>
    <w:rsid w:val="008959A0"/>
    <w:rsid w:val="008C5FA8"/>
    <w:rsid w:val="008D0E09"/>
    <w:rsid w:val="008E1CE7"/>
    <w:rsid w:val="00900066"/>
    <w:rsid w:val="009118F0"/>
    <w:rsid w:val="00914DDF"/>
    <w:rsid w:val="00927200"/>
    <w:rsid w:val="00932562"/>
    <w:rsid w:val="00942C25"/>
    <w:rsid w:val="009443B3"/>
    <w:rsid w:val="009525F2"/>
    <w:rsid w:val="009541D1"/>
    <w:rsid w:val="00970600"/>
    <w:rsid w:val="0097693B"/>
    <w:rsid w:val="009829CF"/>
    <w:rsid w:val="00991865"/>
    <w:rsid w:val="00993355"/>
    <w:rsid w:val="009A4A6D"/>
    <w:rsid w:val="009A57B1"/>
    <w:rsid w:val="009A7848"/>
    <w:rsid w:val="009D4734"/>
    <w:rsid w:val="009E2173"/>
    <w:rsid w:val="00A03B3D"/>
    <w:rsid w:val="00A13265"/>
    <w:rsid w:val="00A1520C"/>
    <w:rsid w:val="00A17962"/>
    <w:rsid w:val="00A33C91"/>
    <w:rsid w:val="00A462DE"/>
    <w:rsid w:val="00A64CCE"/>
    <w:rsid w:val="00A71136"/>
    <w:rsid w:val="00A828C6"/>
    <w:rsid w:val="00A97AD6"/>
    <w:rsid w:val="00AA474C"/>
    <w:rsid w:val="00AB2235"/>
    <w:rsid w:val="00AB6878"/>
    <w:rsid w:val="00AC2324"/>
    <w:rsid w:val="00AD5C8A"/>
    <w:rsid w:val="00AD7E5F"/>
    <w:rsid w:val="00AE5DDF"/>
    <w:rsid w:val="00B00B5D"/>
    <w:rsid w:val="00B01AA1"/>
    <w:rsid w:val="00B30C81"/>
    <w:rsid w:val="00B37E53"/>
    <w:rsid w:val="00B47922"/>
    <w:rsid w:val="00B4793B"/>
    <w:rsid w:val="00B51177"/>
    <w:rsid w:val="00B81D92"/>
    <w:rsid w:val="00B919BB"/>
    <w:rsid w:val="00BB7756"/>
    <w:rsid w:val="00BE0504"/>
    <w:rsid w:val="00BF13A6"/>
    <w:rsid w:val="00C15633"/>
    <w:rsid w:val="00C15799"/>
    <w:rsid w:val="00C21AA2"/>
    <w:rsid w:val="00C31F4A"/>
    <w:rsid w:val="00C357AD"/>
    <w:rsid w:val="00C50B06"/>
    <w:rsid w:val="00C6069C"/>
    <w:rsid w:val="00C65E6F"/>
    <w:rsid w:val="00C86871"/>
    <w:rsid w:val="00CD5431"/>
    <w:rsid w:val="00CF2491"/>
    <w:rsid w:val="00D07078"/>
    <w:rsid w:val="00D1252E"/>
    <w:rsid w:val="00D128A6"/>
    <w:rsid w:val="00D14D6F"/>
    <w:rsid w:val="00D44916"/>
    <w:rsid w:val="00D57772"/>
    <w:rsid w:val="00D75A4D"/>
    <w:rsid w:val="00D8478B"/>
    <w:rsid w:val="00D86151"/>
    <w:rsid w:val="00DA7595"/>
    <w:rsid w:val="00DB0A68"/>
    <w:rsid w:val="00DC43A3"/>
    <w:rsid w:val="00DC59E2"/>
    <w:rsid w:val="00DC663B"/>
    <w:rsid w:val="00DC6E82"/>
    <w:rsid w:val="00DD25E7"/>
    <w:rsid w:val="00DD7C09"/>
    <w:rsid w:val="00DF3D5A"/>
    <w:rsid w:val="00E0124F"/>
    <w:rsid w:val="00E04BEC"/>
    <w:rsid w:val="00E202D9"/>
    <w:rsid w:val="00E25C35"/>
    <w:rsid w:val="00E548AB"/>
    <w:rsid w:val="00E674D3"/>
    <w:rsid w:val="00E70FD0"/>
    <w:rsid w:val="00E73F94"/>
    <w:rsid w:val="00E840ED"/>
    <w:rsid w:val="00E8791E"/>
    <w:rsid w:val="00E93A01"/>
    <w:rsid w:val="00EC11B7"/>
    <w:rsid w:val="00EC5DC3"/>
    <w:rsid w:val="00F07483"/>
    <w:rsid w:val="00F3667A"/>
    <w:rsid w:val="00F455F1"/>
    <w:rsid w:val="00F71198"/>
    <w:rsid w:val="00F74A4B"/>
    <w:rsid w:val="00F84067"/>
    <w:rsid w:val="00F97FC5"/>
    <w:rsid w:val="00FA5AE6"/>
    <w:rsid w:val="00FB764E"/>
    <w:rsid w:val="00FC604A"/>
    <w:rsid w:val="00FE179D"/>
    <w:rsid w:val="00FE237A"/>
    <w:rsid w:val="00FE359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95"/>
    <w:rPr>
      <w:rFonts w:eastAsia="BatangChe"/>
      <w:sz w:val="24"/>
      <w:szCs w:val="24"/>
      <w:lang w:bidi="ar-SA"/>
    </w:rPr>
  </w:style>
  <w:style w:type="paragraph" w:styleId="Heading1">
    <w:name w:val="heading 1"/>
    <w:basedOn w:val="Normal"/>
    <w:next w:val="Normal"/>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A179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1796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6537C"/>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customStyle="1" w:styleId="CharCharChar">
    <w:name w:val="Char Char Char"/>
    <w:basedOn w:val="Normal"/>
    <w:rsid w:val="00261869"/>
    <w:pPr>
      <w:tabs>
        <w:tab w:val="left" w:pos="540"/>
        <w:tab w:val="left" w:pos="1260"/>
        <w:tab w:val="left" w:pos="1800"/>
      </w:tabs>
      <w:spacing w:before="240" w:after="160" w:line="240" w:lineRule="exact"/>
    </w:pPr>
    <w:rPr>
      <w:rFonts w:ascii="Verdana" w:eastAsia="Times New Roman" w:hAnsi="Verdana"/>
      <w:szCs w:val="20"/>
    </w:rPr>
  </w:style>
  <w:style w:type="paragraph" w:styleId="BalloonText">
    <w:name w:val="Balloon Text"/>
    <w:basedOn w:val="Normal"/>
    <w:link w:val="BalloonTextChar"/>
    <w:rsid w:val="005D4DD7"/>
    <w:rPr>
      <w:rFonts w:ascii="Tahoma" w:hAnsi="Tahoma" w:cs="Tahoma"/>
      <w:sz w:val="16"/>
      <w:szCs w:val="16"/>
    </w:rPr>
  </w:style>
  <w:style w:type="character" w:customStyle="1" w:styleId="BalloonTextChar">
    <w:name w:val="Balloon Text Char"/>
    <w:basedOn w:val="DefaultParagraphFont"/>
    <w:link w:val="BalloonText"/>
    <w:rsid w:val="005D4DD7"/>
    <w:rPr>
      <w:rFonts w:ascii="Tahoma" w:eastAsia="BatangChe" w:hAnsi="Tahoma" w:cs="Tahoma"/>
      <w:sz w:val="16"/>
      <w:szCs w:val="16"/>
      <w:lang w:bidi="ar-SA"/>
    </w:rPr>
  </w:style>
  <w:style w:type="character" w:customStyle="1" w:styleId="ECCHLsuperscript">
    <w:name w:val="ECC HL super script"/>
    <w:basedOn w:val="DefaultParagraphFont"/>
    <w:uiPriority w:val="1"/>
    <w:qFormat/>
    <w:rsid w:val="00486D65"/>
    <w:rPr>
      <w:vertAlign w:val="superscript"/>
    </w:rPr>
  </w:style>
  <w:style w:type="character" w:styleId="Emphasis">
    <w:name w:val="Emphasis"/>
    <w:basedOn w:val="DefaultParagraphFont"/>
    <w:uiPriority w:val="20"/>
    <w:qFormat/>
    <w:rsid w:val="00486D65"/>
    <w:rPr>
      <w:i/>
      <w:iCs/>
    </w:rPr>
  </w:style>
  <w:style w:type="character" w:customStyle="1" w:styleId="Heading5Char">
    <w:name w:val="Heading 5 Char"/>
    <w:basedOn w:val="DefaultParagraphFont"/>
    <w:link w:val="Heading5"/>
    <w:semiHidden/>
    <w:rsid w:val="0026537C"/>
    <w:rPr>
      <w:rFonts w:asciiTheme="majorHAnsi" w:eastAsiaTheme="majorEastAsia" w:hAnsiTheme="majorHAnsi" w:cstheme="majorBidi"/>
      <w:color w:val="243F60" w:themeColor="accent1" w:themeShade="7F"/>
      <w:sz w:val="24"/>
      <w:szCs w:val="24"/>
      <w:lang w:bidi="ar-SA"/>
    </w:rPr>
  </w:style>
  <w:style w:type="character" w:customStyle="1" w:styleId="enumlev1Char">
    <w:name w:val="enumlev1 Char"/>
    <w:link w:val="enumlev1"/>
    <w:locked/>
    <w:rsid w:val="0026537C"/>
    <w:rPr>
      <w:sz w:val="24"/>
      <w:lang w:val="en-GB"/>
    </w:rPr>
  </w:style>
  <w:style w:type="paragraph" w:customStyle="1" w:styleId="enumlev1">
    <w:name w:val="enumlev1"/>
    <w:basedOn w:val="Normal"/>
    <w:link w:val="enumlev1Char"/>
    <w:rsid w:val="0026537C"/>
    <w:pPr>
      <w:tabs>
        <w:tab w:val="left" w:pos="1134"/>
        <w:tab w:val="left" w:pos="1871"/>
        <w:tab w:val="left" w:pos="2608"/>
        <w:tab w:val="left" w:pos="3345"/>
      </w:tabs>
      <w:overflowPunct w:val="0"/>
      <w:autoSpaceDE w:val="0"/>
      <w:autoSpaceDN w:val="0"/>
      <w:adjustRightInd w:val="0"/>
      <w:spacing w:before="80"/>
      <w:ind w:left="1134" w:hanging="1134"/>
    </w:pPr>
    <w:rPr>
      <w:rFonts w:eastAsia="Batang"/>
      <w:szCs w:val="20"/>
      <w:lang w:val="en-GB" w:bidi="th-TH"/>
    </w:rPr>
  </w:style>
  <w:style w:type="character" w:styleId="Hyperlink">
    <w:name w:val="Hyperlink"/>
    <w:basedOn w:val="DefaultParagraphFont"/>
    <w:uiPriority w:val="99"/>
    <w:unhideWhenUsed/>
    <w:rsid w:val="0026537C"/>
    <w:rPr>
      <w:rFonts w:ascii="Times New Roman" w:hAnsi="Times New Roman" w:cs="Times New Roman" w:hint="default"/>
      <w:color w:val="0000FF"/>
      <w:u w:val="single"/>
    </w:rPr>
  </w:style>
  <w:style w:type="character" w:styleId="Strong">
    <w:name w:val="Strong"/>
    <w:basedOn w:val="DefaultParagraphFont"/>
    <w:qFormat/>
    <w:rsid w:val="001E4AED"/>
    <w:rPr>
      <w:b/>
      <w:bCs/>
    </w:rPr>
  </w:style>
  <w:style w:type="table" w:styleId="TableGrid">
    <w:name w:val="Table Grid"/>
    <w:basedOn w:val="TableNormal"/>
    <w:rsid w:val="00B81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link w:val="Headingb"/>
    <w:uiPriority w:val="99"/>
    <w:locked/>
    <w:rsid w:val="00B37E53"/>
    <w:rPr>
      <w:rFonts w:ascii="Times" w:hAnsi="Times" w:cs="Times"/>
      <w:b/>
      <w:sz w:val="24"/>
      <w:lang w:val="en-GB"/>
    </w:rPr>
  </w:style>
  <w:style w:type="paragraph" w:customStyle="1" w:styleId="Headingb">
    <w:name w:val="Heading_b"/>
    <w:basedOn w:val="Normal"/>
    <w:next w:val="Normal"/>
    <w:link w:val="HeadingbChar"/>
    <w:uiPriority w:val="99"/>
    <w:rsid w:val="00B37E53"/>
    <w:pPr>
      <w:keepNext/>
      <w:tabs>
        <w:tab w:val="left" w:pos="1134"/>
        <w:tab w:val="left" w:pos="1871"/>
        <w:tab w:val="left" w:pos="2268"/>
      </w:tabs>
      <w:overflowPunct w:val="0"/>
      <w:autoSpaceDE w:val="0"/>
      <w:autoSpaceDN w:val="0"/>
      <w:adjustRightInd w:val="0"/>
      <w:spacing w:before="160"/>
    </w:pPr>
    <w:rPr>
      <w:rFonts w:ascii="Times" w:eastAsia="Batang" w:hAnsi="Times" w:cs="Times"/>
      <w:b/>
      <w:szCs w:val="20"/>
      <w:lang w:val="en-GB" w:bidi="th-TH"/>
    </w:rPr>
  </w:style>
  <w:style w:type="paragraph" w:styleId="ListParagraph">
    <w:name w:val="List Paragraph"/>
    <w:basedOn w:val="Normal"/>
    <w:uiPriority w:val="34"/>
    <w:qFormat/>
    <w:rsid w:val="001032FA"/>
    <w:pPr>
      <w:ind w:left="720"/>
      <w:contextualSpacing/>
    </w:pPr>
  </w:style>
  <w:style w:type="paragraph" w:customStyle="1" w:styleId="AnnexNo">
    <w:name w:val="Annex_No"/>
    <w:basedOn w:val="Normal"/>
    <w:next w:val="Normal"/>
    <w:rsid w:val="00113A32"/>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imes New Roman"/>
      <w:caps/>
      <w:sz w:val="28"/>
      <w:szCs w:val="20"/>
      <w:lang w:val="en-GB"/>
    </w:rPr>
  </w:style>
  <w:style w:type="character" w:styleId="CommentReference">
    <w:name w:val="annotation reference"/>
    <w:basedOn w:val="DefaultParagraphFont"/>
    <w:rsid w:val="00DC6E82"/>
    <w:rPr>
      <w:sz w:val="16"/>
      <w:szCs w:val="16"/>
    </w:rPr>
  </w:style>
  <w:style w:type="paragraph" w:styleId="CommentText">
    <w:name w:val="annotation text"/>
    <w:basedOn w:val="Normal"/>
    <w:link w:val="CommentTextChar"/>
    <w:rsid w:val="00DC6E82"/>
    <w:rPr>
      <w:sz w:val="20"/>
      <w:szCs w:val="20"/>
    </w:rPr>
  </w:style>
  <w:style w:type="character" w:customStyle="1" w:styleId="CommentTextChar">
    <w:name w:val="Comment Text Char"/>
    <w:basedOn w:val="DefaultParagraphFont"/>
    <w:link w:val="CommentText"/>
    <w:rsid w:val="00DC6E82"/>
    <w:rPr>
      <w:rFonts w:eastAsia="BatangChe"/>
      <w:lang w:bidi="ar-SA"/>
    </w:rPr>
  </w:style>
  <w:style w:type="paragraph" w:styleId="CommentSubject">
    <w:name w:val="annotation subject"/>
    <w:basedOn w:val="CommentText"/>
    <w:next w:val="CommentText"/>
    <w:link w:val="CommentSubjectChar"/>
    <w:rsid w:val="00DC6E82"/>
    <w:rPr>
      <w:b/>
      <w:bCs/>
    </w:rPr>
  </w:style>
  <w:style w:type="character" w:customStyle="1" w:styleId="CommentSubjectChar">
    <w:name w:val="Comment Subject Char"/>
    <w:basedOn w:val="CommentTextChar"/>
    <w:link w:val="CommentSubject"/>
    <w:rsid w:val="00DC6E82"/>
    <w:rPr>
      <w:rFonts w:eastAsia="BatangChe"/>
      <w:b/>
      <w:bCs/>
      <w:lang w:bidi="ar-SA"/>
    </w:rPr>
  </w:style>
  <w:style w:type="character" w:customStyle="1" w:styleId="Heading2Char">
    <w:name w:val="Heading 2 Char"/>
    <w:basedOn w:val="DefaultParagraphFont"/>
    <w:link w:val="Heading2"/>
    <w:semiHidden/>
    <w:rsid w:val="00A17962"/>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A17962"/>
    <w:rPr>
      <w:rFonts w:asciiTheme="majorHAnsi" w:eastAsiaTheme="majorEastAsia" w:hAnsiTheme="majorHAnsi" w:cstheme="majorBidi"/>
      <w:b/>
      <w:bCs/>
      <w:color w:val="4F81BD" w:themeColor="accent1"/>
      <w:sz w:val="24"/>
      <w:szCs w:val="24"/>
      <w:lang w:bidi="ar-SA"/>
    </w:rPr>
  </w:style>
  <w:style w:type="paragraph" w:styleId="BodyText">
    <w:name w:val="Body Text"/>
    <w:basedOn w:val="Normal"/>
    <w:link w:val="BodyTextChar"/>
    <w:unhideWhenUsed/>
    <w:rsid w:val="00A17962"/>
    <w:pPr>
      <w:spacing w:after="120"/>
      <w:ind w:left="624"/>
      <w:jc w:val="both"/>
    </w:pPr>
    <w:rPr>
      <w:rFonts w:eastAsia="Times New Roman"/>
      <w:sz w:val="22"/>
      <w:szCs w:val="20"/>
      <w:lang w:val="en-GB"/>
    </w:rPr>
  </w:style>
  <w:style w:type="character" w:customStyle="1" w:styleId="BodyTextChar">
    <w:name w:val="Body Text Char"/>
    <w:basedOn w:val="DefaultParagraphFont"/>
    <w:link w:val="BodyText"/>
    <w:rsid w:val="00A17962"/>
    <w:rPr>
      <w:rFonts w:eastAsia="Times New Roman"/>
      <w:sz w:val="22"/>
      <w:lang w:val="en-GB" w:bidi="ar-SA"/>
    </w:rPr>
  </w:style>
  <w:style w:type="character" w:customStyle="1" w:styleId="CaptionChar">
    <w:name w:val="Caption Char"/>
    <w:aliases w:val="Ca Char,topic Char"/>
    <w:basedOn w:val="DefaultParagraphFont"/>
    <w:link w:val="Caption"/>
    <w:semiHidden/>
    <w:locked/>
    <w:rsid w:val="00A17962"/>
    <w:rPr>
      <w:b/>
      <w:sz w:val="22"/>
    </w:rPr>
  </w:style>
  <w:style w:type="paragraph" w:styleId="Caption">
    <w:name w:val="caption"/>
    <w:aliases w:val="Ca,topic"/>
    <w:basedOn w:val="Normal"/>
    <w:next w:val="BodyText"/>
    <w:link w:val="CaptionChar"/>
    <w:semiHidden/>
    <w:unhideWhenUsed/>
    <w:qFormat/>
    <w:rsid w:val="00A17962"/>
    <w:pPr>
      <w:spacing w:before="120" w:after="120"/>
      <w:jc w:val="center"/>
    </w:pPr>
    <w:rPr>
      <w:rFonts w:eastAsia="Batang"/>
      <w:b/>
      <w:sz w:val="22"/>
      <w:szCs w:val="20"/>
      <w:lang w:bidi="th-TH"/>
    </w:rPr>
  </w:style>
  <w:style w:type="character" w:customStyle="1" w:styleId="TabletextChar">
    <w:name w:val="Table_text Char"/>
    <w:link w:val="Tabletext"/>
    <w:locked/>
    <w:rsid w:val="00A17962"/>
    <w:rPr>
      <w:sz w:val="22"/>
    </w:rPr>
  </w:style>
  <w:style w:type="paragraph" w:customStyle="1" w:styleId="Tabletext">
    <w:name w:val="Table_text"/>
    <w:basedOn w:val="Normal"/>
    <w:link w:val="TabletextChar"/>
    <w:rsid w:val="00A179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Batang"/>
      <w:sz w:val="22"/>
      <w:szCs w:val="20"/>
      <w:lang w:bidi="th-TH"/>
    </w:rPr>
  </w:style>
  <w:style w:type="character" w:customStyle="1" w:styleId="TableheadChar">
    <w:name w:val="Table_head Char"/>
    <w:basedOn w:val="DefaultParagraphFont"/>
    <w:link w:val="Tablehead"/>
    <w:locked/>
    <w:rsid w:val="00A17962"/>
    <w:rPr>
      <w:b/>
      <w:sz w:val="22"/>
    </w:rPr>
  </w:style>
  <w:style w:type="paragraph" w:customStyle="1" w:styleId="Tablehead">
    <w:name w:val="Table_head"/>
    <w:basedOn w:val="Normal"/>
    <w:next w:val="Tabletext"/>
    <w:link w:val="TableheadChar"/>
    <w:rsid w:val="00A179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Batang"/>
      <w:b/>
      <w:sz w:val="22"/>
      <w:szCs w:val="20"/>
      <w:lang w:bidi="th-TH"/>
    </w:rPr>
  </w:style>
  <w:style w:type="character" w:customStyle="1" w:styleId="TabletitleChar">
    <w:name w:val="Table_title Char"/>
    <w:link w:val="Tabletitle"/>
    <w:locked/>
    <w:rsid w:val="00A17962"/>
    <w:rPr>
      <w:b/>
      <w:sz w:val="24"/>
      <w:lang w:val="fr-FR"/>
    </w:rPr>
  </w:style>
  <w:style w:type="paragraph" w:customStyle="1" w:styleId="Tabletitle">
    <w:name w:val="Table_title"/>
    <w:basedOn w:val="Normal"/>
    <w:next w:val="Tablehead"/>
    <w:link w:val="TabletitleChar"/>
    <w:rsid w:val="00A17962"/>
    <w:pPr>
      <w:keepNext/>
      <w:tabs>
        <w:tab w:val="left" w:pos="794"/>
        <w:tab w:val="left" w:pos="1191"/>
        <w:tab w:val="left" w:pos="1588"/>
        <w:tab w:val="left" w:pos="1985"/>
      </w:tabs>
      <w:overflowPunct w:val="0"/>
      <w:autoSpaceDE w:val="0"/>
      <w:autoSpaceDN w:val="0"/>
      <w:adjustRightInd w:val="0"/>
      <w:spacing w:after="120"/>
      <w:jc w:val="center"/>
    </w:pPr>
    <w:rPr>
      <w:rFonts w:eastAsia="Batang"/>
      <w:b/>
      <w:szCs w:val="20"/>
      <w:lang w:val="fr-FR" w:bidi="th-TH"/>
    </w:rPr>
  </w:style>
  <w:style w:type="table" w:customStyle="1" w:styleId="TableGrid5">
    <w:name w:val="Table Grid5"/>
    <w:basedOn w:val="TableNormal"/>
    <w:uiPriority w:val="59"/>
    <w:rsid w:val="00A17962"/>
    <w:rPr>
      <w:rFonts w:asciiTheme="minorHAnsi" w:eastAsiaTheme="minorHAnsi"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24DA4"/>
    <w:pPr>
      <w:spacing w:after="120"/>
    </w:pPr>
    <w:rPr>
      <w:rFonts w:eastAsia="Times New Roman"/>
      <w:lang w:val="en-GB"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624DA4"/>
    <w:rPr>
      <w:rFonts w:ascii="Calibri" w:eastAsia="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24DA4"/>
    <w:pPr>
      <w:spacing w:after="120"/>
    </w:pPr>
    <w:rPr>
      <w:rFonts w:eastAsia="Times New Roman"/>
      <w:lang w:val="en-GB"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624DA4"/>
    <w:rPr>
      <w:rFonts w:ascii="Calibri" w:eastAsia="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A1520C"/>
    <w:rPr>
      <w:sz w:val="20"/>
      <w:szCs w:val="20"/>
    </w:rPr>
  </w:style>
  <w:style w:type="character" w:customStyle="1" w:styleId="FootnoteTextChar">
    <w:name w:val="Footnote Text Char"/>
    <w:basedOn w:val="DefaultParagraphFont"/>
    <w:link w:val="FootnoteText"/>
    <w:rsid w:val="00A1520C"/>
    <w:rPr>
      <w:rFonts w:eastAsia="BatangChe"/>
      <w:lang w:bidi="ar-SA"/>
    </w:rPr>
  </w:style>
  <w:style w:type="character" w:styleId="FootnoteReference">
    <w:name w:val="footnote reference"/>
    <w:basedOn w:val="DefaultParagraphFont"/>
    <w:rsid w:val="00A152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95"/>
    <w:rPr>
      <w:rFonts w:eastAsia="BatangChe"/>
      <w:sz w:val="24"/>
      <w:szCs w:val="24"/>
      <w:lang w:bidi="ar-SA"/>
    </w:rPr>
  </w:style>
  <w:style w:type="paragraph" w:styleId="Heading1">
    <w:name w:val="heading 1"/>
    <w:basedOn w:val="Normal"/>
    <w:next w:val="Normal"/>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A179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17962"/>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6537C"/>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customStyle="1" w:styleId="CharCharChar">
    <w:name w:val="Char Char Char"/>
    <w:basedOn w:val="Normal"/>
    <w:rsid w:val="00261869"/>
    <w:pPr>
      <w:tabs>
        <w:tab w:val="left" w:pos="540"/>
        <w:tab w:val="left" w:pos="1260"/>
        <w:tab w:val="left" w:pos="1800"/>
      </w:tabs>
      <w:spacing w:before="240" w:after="160" w:line="240" w:lineRule="exact"/>
    </w:pPr>
    <w:rPr>
      <w:rFonts w:ascii="Verdana" w:eastAsia="Times New Roman" w:hAnsi="Verdana"/>
      <w:szCs w:val="20"/>
    </w:rPr>
  </w:style>
  <w:style w:type="paragraph" w:styleId="BalloonText">
    <w:name w:val="Balloon Text"/>
    <w:basedOn w:val="Normal"/>
    <w:link w:val="BalloonTextChar"/>
    <w:rsid w:val="005D4DD7"/>
    <w:rPr>
      <w:rFonts w:ascii="Tahoma" w:hAnsi="Tahoma" w:cs="Tahoma"/>
      <w:sz w:val="16"/>
      <w:szCs w:val="16"/>
    </w:rPr>
  </w:style>
  <w:style w:type="character" w:customStyle="1" w:styleId="BalloonTextChar">
    <w:name w:val="Balloon Text Char"/>
    <w:basedOn w:val="DefaultParagraphFont"/>
    <w:link w:val="BalloonText"/>
    <w:rsid w:val="005D4DD7"/>
    <w:rPr>
      <w:rFonts w:ascii="Tahoma" w:eastAsia="BatangChe" w:hAnsi="Tahoma" w:cs="Tahoma"/>
      <w:sz w:val="16"/>
      <w:szCs w:val="16"/>
      <w:lang w:bidi="ar-SA"/>
    </w:rPr>
  </w:style>
  <w:style w:type="character" w:customStyle="1" w:styleId="ECCHLsuperscript">
    <w:name w:val="ECC HL super script"/>
    <w:basedOn w:val="DefaultParagraphFont"/>
    <w:uiPriority w:val="1"/>
    <w:qFormat/>
    <w:rsid w:val="00486D65"/>
    <w:rPr>
      <w:vertAlign w:val="superscript"/>
    </w:rPr>
  </w:style>
  <w:style w:type="character" w:styleId="Emphasis">
    <w:name w:val="Emphasis"/>
    <w:basedOn w:val="DefaultParagraphFont"/>
    <w:uiPriority w:val="20"/>
    <w:qFormat/>
    <w:rsid w:val="00486D65"/>
    <w:rPr>
      <w:i/>
      <w:iCs/>
    </w:rPr>
  </w:style>
  <w:style w:type="character" w:customStyle="1" w:styleId="Heading5Char">
    <w:name w:val="Heading 5 Char"/>
    <w:basedOn w:val="DefaultParagraphFont"/>
    <w:link w:val="Heading5"/>
    <w:semiHidden/>
    <w:rsid w:val="0026537C"/>
    <w:rPr>
      <w:rFonts w:asciiTheme="majorHAnsi" w:eastAsiaTheme="majorEastAsia" w:hAnsiTheme="majorHAnsi" w:cstheme="majorBidi"/>
      <w:color w:val="243F60" w:themeColor="accent1" w:themeShade="7F"/>
      <w:sz w:val="24"/>
      <w:szCs w:val="24"/>
      <w:lang w:bidi="ar-SA"/>
    </w:rPr>
  </w:style>
  <w:style w:type="character" w:customStyle="1" w:styleId="enumlev1Char">
    <w:name w:val="enumlev1 Char"/>
    <w:link w:val="enumlev1"/>
    <w:locked/>
    <w:rsid w:val="0026537C"/>
    <w:rPr>
      <w:sz w:val="24"/>
      <w:lang w:val="en-GB"/>
    </w:rPr>
  </w:style>
  <w:style w:type="paragraph" w:customStyle="1" w:styleId="enumlev1">
    <w:name w:val="enumlev1"/>
    <w:basedOn w:val="Normal"/>
    <w:link w:val="enumlev1Char"/>
    <w:rsid w:val="0026537C"/>
    <w:pPr>
      <w:tabs>
        <w:tab w:val="left" w:pos="1134"/>
        <w:tab w:val="left" w:pos="1871"/>
        <w:tab w:val="left" w:pos="2608"/>
        <w:tab w:val="left" w:pos="3345"/>
      </w:tabs>
      <w:overflowPunct w:val="0"/>
      <w:autoSpaceDE w:val="0"/>
      <w:autoSpaceDN w:val="0"/>
      <w:adjustRightInd w:val="0"/>
      <w:spacing w:before="80"/>
      <w:ind w:left="1134" w:hanging="1134"/>
    </w:pPr>
    <w:rPr>
      <w:rFonts w:eastAsia="Batang"/>
      <w:szCs w:val="20"/>
      <w:lang w:val="en-GB" w:bidi="th-TH"/>
    </w:rPr>
  </w:style>
  <w:style w:type="character" w:styleId="Hyperlink">
    <w:name w:val="Hyperlink"/>
    <w:basedOn w:val="DefaultParagraphFont"/>
    <w:uiPriority w:val="99"/>
    <w:unhideWhenUsed/>
    <w:rsid w:val="0026537C"/>
    <w:rPr>
      <w:rFonts w:ascii="Times New Roman" w:hAnsi="Times New Roman" w:cs="Times New Roman" w:hint="default"/>
      <w:color w:val="0000FF"/>
      <w:u w:val="single"/>
    </w:rPr>
  </w:style>
  <w:style w:type="character" w:styleId="Strong">
    <w:name w:val="Strong"/>
    <w:basedOn w:val="DefaultParagraphFont"/>
    <w:qFormat/>
    <w:rsid w:val="001E4AED"/>
    <w:rPr>
      <w:b/>
      <w:bCs/>
    </w:rPr>
  </w:style>
  <w:style w:type="table" w:styleId="TableGrid">
    <w:name w:val="Table Grid"/>
    <w:basedOn w:val="TableNormal"/>
    <w:rsid w:val="00B81D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link w:val="Headingb"/>
    <w:uiPriority w:val="99"/>
    <w:locked/>
    <w:rsid w:val="00B37E53"/>
    <w:rPr>
      <w:rFonts w:ascii="Times" w:hAnsi="Times" w:cs="Times"/>
      <w:b/>
      <w:sz w:val="24"/>
      <w:lang w:val="en-GB"/>
    </w:rPr>
  </w:style>
  <w:style w:type="paragraph" w:customStyle="1" w:styleId="Headingb">
    <w:name w:val="Heading_b"/>
    <w:basedOn w:val="Normal"/>
    <w:next w:val="Normal"/>
    <w:link w:val="HeadingbChar"/>
    <w:uiPriority w:val="99"/>
    <w:rsid w:val="00B37E53"/>
    <w:pPr>
      <w:keepNext/>
      <w:tabs>
        <w:tab w:val="left" w:pos="1134"/>
        <w:tab w:val="left" w:pos="1871"/>
        <w:tab w:val="left" w:pos="2268"/>
      </w:tabs>
      <w:overflowPunct w:val="0"/>
      <w:autoSpaceDE w:val="0"/>
      <w:autoSpaceDN w:val="0"/>
      <w:adjustRightInd w:val="0"/>
      <w:spacing w:before="160"/>
    </w:pPr>
    <w:rPr>
      <w:rFonts w:ascii="Times" w:eastAsia="Batang" w:hAnsi="Times" w:cs="Times"/>
      <w:b/>
      <w:szCs w:val="20"/>
      <w:lang w:val="en-GB" w:bidi="th-TH"/>
    </w:rPr>
  </w:style>
  <w:style w:type="paragraph" w:styleId="ListParagraph">
    <w:name w:val="List Paragraph"/>
    <w:basedOn w:val="Normal"/>
    <w:uiPriority w:val="34"/>
    <w:qFormat/>
    <w:rsid w:val="001032FA"/>
    <w:pPr>
      <w:ind w:left="720"/>
      <w:contextualSpacing/>
    </w:pPr>
  </w:style>
  <w:style w:type="paragraph" w:customStyle="1" w:styleId="AnnexNo">
    <w:name w:val="Annex_No"/>
    <w:basedOn w:val="Normal"/>
    <w:next w:val="Normal"/>
    <w:rsid w:val="00113A32"/>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imes New Roman"/>
      <w:caps/>
      <w:sz w:val="28"/>
      <w:szCs w:val="20"/>
      <w:lang w:val="en-GB"/>
    </w:rPr>
  </w:style>
  <w:style w:type="character" w:styleId="CommentReference">
    <w:name w:val="annotation reference"/>
    <w:basedOn w:val="DefaultParagraphFont"/>
    <w:rsid w:val="00DC6E82"/>
    <w:rPr>
      <w:sz w:val="16"/>
      <w:szCs w:val="16"/>
    </w:rPr>
  </w:style>
  <w:style w:type="paragraph" w:styleId="CommentText">
    <w:name w:val="annotation text"/>
    <w:basedOn w:val="Normal"/>
    <w:link w:val="CommentTextChar"/>
    <w:rsid w:val="00DC6E82"/>
    <w:rPr>
      <w:sz w:val="20"/>
      <w:szCs w:val="20"/>
    </w:rPr>
  </w:style>
  <w:style w:type="character" w:customStyle="1" w:styleId="CommentTextChar">
    <w:name w:val="Comment Text Char"/>
    <w:basedOn w:val="DefaultParagraphFont"/>
    <w:link w:val="CommentText"/>
    <w:rsid w:val="00DC6E82"/>
    <w:rPr>
      <w:rFonts w:eastAsia="BatangChe"/>
      <w:lang w:bidi="ar-SA"/>
    </w:rPr>
  </w:style>
  <w:style w:type="paragraph" w:styleId="CommentSubject">
    <w:name w:val="annotation subject"/>
    <w:basedOn w:val="CommentText"/>
    <w:next w:val="CommentText"/>
    <w:link w:val="CommentSubjectChar"/>
    <w:rsid w:val="00DC6E82"/>
    <w:rPr>
      <w:b/>
      <w:bCs/>
    </w:rPr>
  </w:style>
  <w:style w:type="character" w:customStyle="1" w:styleId="CommentSubjectChar">
    <w:name w:val="Comment Subject Char"/>
    <w:basedOn w:val="CommentTextChar"/>
    <w:link w:val="CommentSubject"/>
    <w:rsid w:val="00DC6E82"/>
    <w:rPr>
      <w:rFonts w:eastAsia="BatangChe"/>
      <w:b/>
      <w:bCs/>
      <w:lang w:bidi="ar-SA"/>
    </w:rPr>
  </w:style>
  <w:style w:type="character" w:customStyle="1" w:styleId="Heading2Char">
    <w:name w:val="Heading 2 Char"/>
    <w:basedOn w:val="DefaultParagraphFont"/>
    <w:link w:val="Heading2"/>
    <w:semiHidden/>
    <w:rsid w:val="00A17962"/>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A17962"/>
    <w:rPr>
      <w:rFonts w:asciiTheme="majorHAnsi" w:eastAsiaTheme="majorEastAsia" w:hAnsiTheme="majorHAnsi" w:cstheme="majorBidi"/>
      <w:b/>
      <w:bCs/>
      <w:color w:val="4F81BD" w:themeColor="accent1"/>
      <w:sz w:val="24"/>
      <w:szCs w:val="24"/>
      <w:lang w:bidi="ar-SA"/>
    </w:rPr>
  </w:style>
  <w:style w:type="paragraph" w:styleId="BodyText">
    <w:name w:val="Body Text"/>
    <w:basedOn w:val="Normal"/>
    <w:link w:val="BodyTextChar"/>
    <w:unhideWhenUsed/>
    <w:rsid w:val="00A17962"/>
    <w:pPr>
      <w:spacing w:after="120"/>
      <w:ind w:left="624"/>
      <w:jc w:val="both"/>
    </w:pPr>
    <w:rPr>
      <w:rFonts w:eastAsia="Times New Roman"/>
      <w:sz w:val="22"/>
      <w:szCs w:val="20"/>
      <w:lang w:val="en-GB"/>
    </w:rPr>
  </w:style>
  <w:style w:type="character" w:customStyle="1" w:styleId="BodyTextChar">
    <w:name w:val="Body Text Char"/>
    <w:basedOn w:val="DefaultParagraphFont"/>
    <w:link w:val="BodyText"/>
    <w:rsid w:val="00A17962"/>
    <w:rPr>
      <w:rFonts w:eastAsia="Times New Roman"/>
      <w:sz w:val="22"/>
      <w:lang w:val="en-GB" w:bidi="ar-SA"/>
    </w:rPr>
  </w:style>
  <w:style w:type="character" w:customStyle="1" w:styleId="CaptionChar">
    <w:name w:val="Caption Char"/>
    <w:aliases w:val="Ca Char,topic Char"/>
    <w:basedOn w:val="DefaultParagraphFont"/>
    <w:link w:val="Caption"/>
    <w:semiHidden/>
    <w:locked/>
    <w:rsid w:val="00A17962"/>
    <w:rPr>
      <w:b/>
      <w:sz w:val="22"/>
    </w:rPr>
  </w:style>
  <w:style w:type="paragraph" w:styleId="Caption">
    <w:name w:val="caption"/>
    <w:aliases w:val="Ca,topic"/>
    <w:basedOn w:val="Normal"/>
    <w:next w:val="BodyText"/>
    <w:link w:val="CaptionChar"/>
    <w:semiHidden/>
    <w:unhideWhenUsed/>
    <w:qFormat/>
    <w:rsid w:val="00A17962"/>
    <w:pPr>
      <w:spacing w:before="120" w:after="120"/>
      <w:jc w:val="center"/>
    </w:pPr>
    <w:rPr>
      <w:rFonts w:eastAsia="Batang"/>
      <w:b/>
      <w:sz w:val="22"/>
      <w:szCs w:val="20"/>
      <w:lang w:bidi="th-TH"/>
    </w:rPr>
  </w:style>
  <w:style w:type="character" w:customStyle="1" w:styleId="TabletextChar">
    <w:name w:val="Table_text Char"/>
    <w:link w:val="Tabletext"/>
    <w:locked/>
    <w:rsid w:val="00A17962"/>
    <w:rPr>
      <w:sz w:val="22"/>
    </w:rPr>
  </w:style>
  <w:style w:type="paragraph" w:customStyle="1" w:styleId="Tabletext">
    <w:name w:val="Table_text"/>
    <w:basedOn w:val="Normal"/>
    <w:link w:val="TabletextChar"/>
    <w:rsid w:val="00A179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Batang"/>
      <w:sz w:val="22"/>
      <w:szCs w:val="20"/>
      <w:lang w:bidi="th-TH"/>
    </w:rPr>
  </w:style>
  <w:style w:type="character" w:customStyle="1" w:styleId="TableheadChar">
    <w:name w:val="Table_head Char"/>
    <w:basedOn w:val="DefaultParagraphFont"/>
    <w:link w:val="Tablehead"/>
    <w:locked/>
    <w:rsid w:val="00A17962"/>
    <w:rPr>
      <w:b/>
      <w:sz w:val="22"/>
    </w:rPr>
  </w:style>
  <w:style w:type="paragraph" w:customStyle="1" w:styleId="Tablehead">
    <w:name w:val="Table_head"/>
    <w:basedOn w:val="Normal"/>
    <w:next w:val="Tabletext"/>
    <w:link w:val="TableheadChar"/>
    <w:rsid w:val="00A1796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Batang"/>
      <w:b/>
      <w:sz w:val="22"/>
      <w:szCs w:val="20"/>
      <w:lang w:bidi="th-TH"/>
    </w:rPr>
  </w:style>
  <w:style w:type="character" w:customStyle="1" w:styleId="TabletitleChar">
    <w:name w:val="Table_title Char"/>
    <w:link w:val="Tabletitle"/>
    <w:locked/>
    <w:rsid w:val="00A17962"/>
    <w:rPr>
      <w:b/>
      <w:sz w:val="24"/>
      <w:lang w:val="fr-FR"/>
    </w:rPr>
  </w:style>
  <w:style w:type="paragraph" w:customStyle="1" w:styleId="Tabletitle">
    <w:name w:val="Table_title"/>
    <w:basedOn w:val="Normal"/>
    <w:next w:val="Tablehead"/>
    <w:link w:val="TabletitleChar"/>
    <w:rsid w:val="00A17962"/>
    <w:pPr>
      <w:keepNext/>
      <w:tabs>
        <w:tab w:val="left" w:pos="794"/>
        <w:tab w:val="left" w:pos="1191"/>
        <w:tab w:val="left" w:pos="1588"/>
        <w:tab w:val="left" w:pos="1985"/>
      </w:tabs>
      <w:overflowPunct w:val="0"/>
      <w:autoSpaceDE w:val="0"/>
      <w:autoSpaceDN w:val="0"/>
      <w:adjustRightInd w:val="0"/>
      <w:spacing w:after="120"/>
      <w:jc w:val="center"/>
    </w:pPr>
    <w:rPr>
      <w:rFonts w:eastAsia="Batang"/>
      <w:b/>
      <w:szCs w:val="20"/>
      <w:lang w:val="fr-FR" w:bidi="th-TH"/>
    </w:rPr>
  </w:style>
  <w:style w:type="table" w:customStyle="1" w:styleId="TableGrid5">
    <w:name w:val="Table Grid5"/>
    <w:basedOn w:val="TableNormal"/>
    <w:uiPriority w:val="59"/>
    <w:rsid w:val="00A17962"/>
    <w:rPr>
      <w:rFonts w:asciiTheme="minorHAnsi" w:eastAsiaTheme="minorHAnsi" w:hAnsiTheme="minorHAnsi" w:cstheme="minorBid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624DA4"/>
    <w:pPr>
      <w:spacing w:after="120"/>
    </w:pPr>
    <w:rPr>
      <w:rFonts w:eastAsia="Times New Roman"/>
      <w:lang w:val="en-GB"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624DA4"/>
    <w:rPr>
      <w:rFonts w:ascii="Calibri" w:eastAsia="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24DA4"/>
    <w:pPr>
      <w:spacing w:after="120"/>
    </w:pPr>
    <w:rPr>
      <w:rFonts w:eastAsia="Times New Roman"/>
      <w:lang w:val="en-GB"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624DA4"/>
    <w:rPr>
      <w:rFonts w:ascii="Calibri" w:eastAsia="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A1520C"/>
    <w:rPr>
      <w:sz w:val="20"/>
      <w:szCs w:val="20"/>
    </w:rPr>
  </w:style>
  <w:style w:type="character" w:customStyle="1" w:styleId="FootnoteTextChar">
    <w:name w:val="Footnote Text Char"/>
    <w:basedOn w:val="DefaultParagraphFont"/>
    <w:link w:val="FootnoteText"/>
    <w:rsid w:val="00A1520C"/>
    <w:rPr>
      <w:rFonts w:eastAsia="BatangChe"/>
      <w:lang w:bidi="ar-SA"/>
    </w:rPr>
  </w:style>
  <w:style w:type="character" w:styleId="FootnoteReference">
    <w:name w:val="footnote reference"/>
    <w:basedOn w:val="DefaultParagraphFont"/>
    <w:rsid w:val="00A152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258">
      <w:bodyDiv w:val="1"/>
      <w:marLeft w:val="0"/>
      <w:marRight w:val="0"/>
      <w:marTop w:val="0"/>
      <w:marBottom w:val="0"/>
      <w:divBdr>
        <w:top w:val="none" w:sz="0" w:space="0" w:color="auto"/>
        <w:left w:val="none" w:sz="0" w:space="0" w:color="auto"/>
        <w:bottom w:val="none" w:sz="0" w:space="0" w:color="auto"/>
        <w:right w:val="none" w:sz="0" w:space="0" w:color="auto"/>
      </w:divBdr>
    </w:div>
    <w:div w:id="138039550">
      <w:bodyDiv w:val="1"/>
      <w:marLeft w:val="0"/>
      <w:marRight w:val="0"/>
      <w:marTop w:val="0"/>
      <w:marBottom w:val="0"/>
      <w:divBdr>
        <w:top w:val="none" w:sz="0" w:space="0" w:color="auto"/>
        <w:left w:val="none" w:sz="0" w:space="0" w:color="auto"/>
        <w:bottom w:val="none" w:sz="0" w:space="0" w:color="auto"/>
        <w:right w:val="none" w:sz="0" w:space="0" w:color="auto"/>
      </w:divBdr>
    </w:div>
    <w:div w:id="245504832">
      <w:bodyDiv w:val="1"/>
      <w:marLeft w:val="0"/>
      <w:marRight w:val="0"/>
      <w:marTop w:val="0"/>
      <w:marBottom w:val="0"/>
      <w:divBdr>
        <w:top w:val="none" w:sz="0" w:space="0" w:color="auto"/>
        <w:left w:val="none" w:sz="0" w:space="0" w:color="auto"/>
        <w:bottom w:val="none" w:sz="0" w:space="0" w:color="auto"/>
        <w:right w:val="none" w:sz="0" w:space="0" w:color="auto"/>
      </w:divBdr>
    </w:div>
    <w:div w:id="351107273">
      <w:bodyDiv w:val="1"/>
      <w:marLeft w:val="0"/>
      <w:marRight w:val="0"/>
      <w:marTop w:val="0"/>
      <w:marBottom w:val="0"/>
      <w:divBdr>
        <w:top w:val="none" w:sz="0" w:space="0" w:color="auto"/>
        <w:left w:val="none" w:sz="0" w:space="0" w:color="auto"/>
        <w:bottom w:val="none" w:sz="0" w:space="0" w:color="auto"/>
        <w:right w:val="none" w:sz="0" w:space="0" w:color="auto"/>
      </w:divBdr>
    </w:div>
    <w:div w:id="662394741">
      <w:bodyDiv w:val="1"/>
      <w:marLeft w:val="0"/>
      <w:marRight w:val="0"/>
      <w:marTop w:val="0"/>
      <w:marBottom w:val="0"/>
      <w:divBdr>
        <w:top w:val="none" w:sz="0" w:space="0" w:color="auto"/>
        <w:left w:val="none" w:sz="0" w:space="0" w:color="auto"/>
        <w:bottom w:val="none" w:sz="0" w:space="0" w:color="auto"/>
        <w:right w:val="none" w:sz="0" w:space="0" w:color="auto"/>
      </w:divBdr>
    </w:div>
    <w:div w:id="972095738">
      <w:bodyDiv w:val="1"/>
      <w:marLeft w:val="0"/>
      <w:marRight w:val="0"/>
      <w:marTop w:val="0"/>
      <w:marBottom w:val="0"/>
      <w:divBdr>
        <w:top w:val="none" w:sz="0" w:space="0" w:color="auto"/>
        <w:left w:val="none" w:sz="0" w:space="0" w:color="auto"/>
        <w:bottom w:val="none" w:sz="0" w:space="0" w:color="auto"/>
        <w:right w:val="none" w:sz="0" w:space="0" w:color="auto"/>
      </w:divBdr>
    </w:div>
    <w:div w:id="1063868240">
      <w:bodyDiv w:val="1"/>
      <w:marLeft w:val="0"/>
      <w:marRight w:val="0"/>
      <w:marTop w:val="0"/>
      <w:marBottom w:val="0"/>
      <w:divBdr>
        <w:top w:val="none" w:sz="0" w:space="0" w:color="auto"/>
        <w:left w:val="none" w:sz="0" w:space="0" w:color="auto"/>
        <w:bottom w:val="none" w:sz="0" w:space="0" w:color="auto"/>
        <w:right w:val="none" w:sz="0" w:space="0" w:color="auto"/>
      </w:divBdr>
    </w:div>
    <w:div w:id="1464616513">
      <w:bodyDiv w:val="1"/>
      <w:marLeft w:val="0"/>
      <w:marRight w:val="0"/>
      <w:marTop w:val="0"/>
      <w:marBottom w:val="0"/>
      <w:divBdr>
        <w:top w:val="none" w:sz="0" w:space="0" w:color="auto"/>
        <w:left w:val="none" w:sz="0" w:space="0" w:color="auto"/>
        <w:bottom w:val="none" w:sz="0" w:space="0" w:color="auto"/>
        <w:right w:val="none" w:sz="0" w:space="0" w:color="auto"/>
      </w:divBdr>
    </w:div>
    <w:div w:id="1569728728">
      <w:bodyDiv w:val="1"/>
      <w:marLeft w:val="0"/>
      <w:marRight w:val="0"/>
      <w:marTop w:val="0"/>
      <w:marBottom w:val="0"/>
      <w:divBdr>
        <w:top w:val="none" w:sz="0" w:space="0" w:color="auto"/>
        <w:left w:val="none" w:sz="0" w:space="0" w:color="auto"/>
        <w:bottom w:val="none" w:sz="0" w:space="0" w:color="auto"/>
        <w:right w:val="none" w:sz="0" w:space="0" w:color="auto"/>
      </w:divBdr>
    </w:div>
    <w:div w:id="1614166005">
      <w:bodyDiv w:val="1"/>
      <w:marLeft w:val="0"/>
      <w:marRight w:val="0"/>
      <w:marTop w:val="0"/>
      <w:marBottom w:val="0"/>
      <w:divBdr>
        <w:top w:val="none" w:sz="0" w:space="0" w:color="auto"/>
        <w:left w:val="none" w:sz="0" w:space="0" w:color="auto"/>
        <w:bottom w:val="none" w:sz="0" w:space="0" w:color="auto"/>
        <w:right w:val="none" w:sz="0" w:space="0" w:color="auto"/>
      </w:divBdr>
    </w:div>
    <w:div w:id="193089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md/dologin_md.asp?lang=en&amp;id=R12-JTG4567-C-0584!N11!MSW-E" TargetMode="External"/><Relationship Id="rId1" Type="http://schemas.openxmlformats.org/officeDocument/2006/relationships/hyperlink" Target="http://www.itu.int/md/R12-JTG4567-C-0343/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zhao\Dropbox\GSMA\spectrum\APT\APG\APG15-3\APG15-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463A-773C-4833-9280-309768723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APG15-3 template.dotx</Template>
  <TotalTime>1</TotalTime>
  <Pages>13</Pages>
  <Words>3574</Words>
  <Characters>20375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 Zhao, GSMA</dc:creator>
  <cp:lastModifiedBy>Forhadul Parvez</cp:lastModifiedBy>
  <cp:revision>3</cp:revision>
  <cp:lastPrinted>2014-05-29T14:55:00Z</cp:lastPrinted>
  <dcterms:created xsi:type="dcterms:W3CDTF">2014-06-03T15:05:00Z</dcterms:created>
  <dcterms:modified xsi:type="dcterms:W3CDTF">2014-06-03T15:05:00Z</dcterms:modified>
</cp:coreProperties>
</file>