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33DB9" w:rsidRPr="00B33DB9" w14:paraId="7A1A2704" w14:textId="77777777" w:rsidTr="00C44E02">
        <w:trPr>
          <w:cantSplit/>
          <w:trHeight w:val="288"/>
        </w:trPr>
        <w:tc>
          <w:tcPr>
            <w:tcW w:w="1399" w:type="dxa"/>
            <w:vMerge w:val="restart"/>
          </w:tcPr>
          <w:p w14:paraId="3659FE95" w14:textId="77777777" w:rsidR="00B33DB9" w:rsidRPr="00B33DB9" w:rsidRDefault="00B33DB9" w:rsidP="00B33DB9">
            <w:pPr>
              <w:widowControl w:val="0"/>
              <w:wordWrap w:val="0"/>
              <w:jc w:val="both"/>
              <w:rPr>
                <w:kern w:val="2"/>
                <w:lang w:eastAsia="ko-KR"/>
              </w:rPr>
            </w:pPr>
            <w:r w:rsidRPr="00B33DB9">
              <w:rPr>
                <w:noProof/>
                <w:kern w:val="2"/>
              </w:rPr>
              <w:drawing>
                <wp:inline distT="0" distB="0" distL="0" distR="0" wp14:anchorId="2B4D9551" wp14:editId="5A661233">
                  <wp:extent cx="762635" cy="7162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588607D" w14:textId="77777777" w:rsidR="00B33DB9" w:rsidRPr="00B33DB9" w:rsidRDefault="00B33DB9" w:rsidP="00B33DB9">
            <w:pPr>
              <w:rPr>
                <w:sz w:val="22"/>
                <w:szCs w:val="22"/>
              </w:rPr>
            </w:pPr>
            <w:r w:rsidRPr="00B33DB9">
              <w:rPr>
                <w:sz w:val="22"/>
                <w:szCs w:val="22"/>
              </w:rPr>
              <w:t>ASIA-PACIFIC TELECOMMUNITY</w:t>
            </w:r>
          </w:p>
        </w:tc>
        <w:tc>
          <w:tcPr>
            <w:tcW w:w="2160" w:type="dxa"/>
          </w:tcPr>
          <w:p w14:paraId="4BEA6464" w14:textId="3C3545EF" w:rsidR="00B33DB9" w:rsidRPr="00B33DB9" w:rsidRDefault="00B33DB9" w:rsidP="00B33DB9">
            <w:pPr>
              <w:keepNext/>
              <w:keepLines/>
              <w:spacing w:before="40"/>
              <w:outlineLvl w:val="7"/>
              <w:rPr>
                <w:rFonts w:ascii="Cambria" w:eastAsia="MS Gothic" w:hAnsi="Cambria" w:cs="Angsana New"/>
                <w:b/>
                <w:bCs/>
                <w:color w:val="272727"/>
              </w:rPr>
            </w:pPr>
          </w:p>
        </w:tc>
      </w:tr>
      <w:tr w:rsidR="00B33DB9" w:rsidRPr="00B33DB9" w14:paraId="55938FF5" w14:textId="77777777" w:rsidTr="00C44E02">
        <w:trPr>
          <w:cantSplit/>
          <w:trHeight w:val="504"/>
        </w:trPr>
        <w:tc>
          <w:tcPr>
            <w:tcW w:w="1399" w:type="dxa"/>
            <w:vMerge/>
          </w:tcPr>
          <w:p w14:paraId="5857CAB9" w14:textId="77777777" w:rsidR="00B33DB9" w:rsidRPr="00B33DB9" w:rsidRDefault="00B33DB9" w:rsidP="00B33DB9"/>
        </w:tc>
        <w:tc>
          <w:tcPr>
            <w:tcW w:w="5760" w:type="dxa"/>
            <w:vAlign w:val="center"/>
          </w:tcPr>
          <w:p w14:paraId="3B09083A" w14:textId="77777777" w:rsidR="00B33DB9" w:rsidRPr="00B33DB9" w:rsidRDefault="00B33DB9" w:rsidP="00B33DB9">
            <w:pPr>
              <w:rPr>
                <w:b/>
              </w:rPr>
            </w:pPr>
            <w:r w:rsidRPr="00B33DB9">
              <w:rPr>
                <w:b/>
              </w:rPr>
              <w:t xml:space="preserve">The 30th Meeting of the APT Wireless Group </w:t>
            </w:r>
          </w:p>
          <w:p w14:paraId="648D7DEC" w14:textId="77777777" w:rsidR="00B33DB9" w:rsidRPr="00B33DB9" w:rsidRDefault="00B33DB9" w:rsidP="00B33DB9">
            <w:r w:rsidRPr="00B33DB9">
              <w:rPr>
                <w:b/>
              </w:rPr>
              <w:t>(AWG-30)</w:t>
            </w:r>
          </w:p>
        </w:tc>
        <w:tc>
          <w:tcPr>
            <w:tcW w:w="2160" w:type="dxa"/>
          </w:tcPr>
          <w:p w14:paraId="51FF98BE" w14:textId="77777777" w:rsidR="00B33DB9" w:rsidRPr="00B11BAC" w:rsidRDefault="00B33DB9" w:rsidP="00B11BAC">
            <w:pPr>
              <w:rPr>
                <w:b/>
                <w:bCs/>
              </w:rPr>
            </w:pPr>
          </w:p>
        </w:tc>
      </w:tr>
      <w:tr w:rsidR="00B33DB9" w:rsidRPr="00B33DB9" w14:paraId="1F80CD38" w14:textId="77777777" w:rsidTr="00C44E02">
        <w:trPr>
          <w:cantSplit/>
          <w:trHeight w:val="288"/>
        </w:trPr>
        <w:tc>
          <w:tcPr>
            <w:tcW w:w="1399" w:type="dxa"/>
            <w:vMerge/>
          </w:tcPr>
          <w:p w14:paraId="1906892A" w14:textId="77777777" w:rsidR="00B33DB9" w:rsidRPr="00B33DB9" w:rsidRDefault="00B33DB9" w:rsidP="00B33DB9">
            <w:pPr>
              <w:rPr>
                <w:lang w:val="en-GB"/>
              </w:rPr>
            </w:pPr>
          </w:p>
        </w:tc>
        <w:tc>
          <w:tcPr>
            <w:tcW w:w="5760" w:type="dxa"/>
            <w:vAlign w:val="bottom"/>
          </w:tcPr>
          <w:p w14:paraId="2AC8DDF6" w14:textId="77777777" w:rsidR="00B33DB9" w:rsidRPr="00B33DB9" w:rsidRDefault="00B33DB9" w:rsidP="00B33DB9">
            <w:pPr>
              <w:rPr>
                <w:b/>
              </w:rPr>
            </w:pPr>
            <w:r w:rsidRPr="00B33DB9">
              <w:t xml:space="preserve">5 – 9 September 2022, </w:t>
            </w:r>
            <w:r w:rsidRPr="00B33DB9">
              <w:rPr>
                <w:bCs/>
              </w:rPr>
              <w:t>Bangkok, Thailand</w:t>
            </w:r>
          </w:p>
        </w:tc>
        <w:tc>
          <w:tcPr>
            <w:tcW w:w="2160" w:type="dxa"/>
            <w:vAlign w:val="bottom"/>
          </w:tcPr>
          <w:p w14:paraId="76F7E7B4" w14:textId="77777777" w:rsidR="00B33DB9" w:rsidRPr="00B33DB9" w:rsidRDefault="00B33DB9" w:rsidP="00B33DB9">
            <w:pPr>
              <w:rPr>
                <w:bCs/>
              </w:rPr>
            </w:pPr>
            <w:r w:rsidRPr="00B33DB9">
              <w:rPr>
                <w:bCs/>
              </w:rPr>
              <w:t>9 September 2022</w:t>
            </w:r>
          </w:p>
        </w:tc>
      </w:tr>
    </w:tbl>
    <w:p w14:paraId="112943D5" w14:textId="77777777" w:rsidR="00F254C3" w:rsidRDefault="00F254C3" w:rsidP="00F254C3">
      <w:pPr>
        <w:rPr>
          <w:rFonts w:cstheme="minorBidi"/>
          <w:szCs w:val="30"/>
          <w:lang w:val="en-AU" w:eastAsia="ja-JP" w:bidi="th-TH"/>
        </w:rPr>
      </w:pPr>
    </w:p>
    <w:p w14:paraId="6E83F0EF" w14:textId="1E854F61" w:rsidR="00B11BAC" w:rsidRDefault="00B11BAC" w:rsidP="00B11BAC">
      <w:pPr>
        <w:rPr>
          <w:rFonts w:cstheme="minorBidi"/>
          <w:caps/>
          <w:lang w:bidi="th-TH"/>
        </w:rPr>
      </w:pPr>
      <w:r w:rsidRPr="00B11BAC">
        <w:t xml:space="preserve">Source: </w:t>
      </w:r>
      <w:r w:rsidRPr="00B11BAC">
        <w:rPr>
          <w:caps/>
          <w:lang w:val="fr-FR"/>
        </w:rPr>
        <w:t>AWG-</w:t>
      </w:r>
      <w:r w:rsidRPr="00B11BAC">
        <w:rPr>
          <w:caps/>
        </w:rPr>
        <w:t>30</w:t>
      </w:r>
      <w:r w:rsidRPr="00B11BAC">
        <w:rPr>
          <w:caps/>
          <w:lang w:val="fr-FR"/>
        </w:rPr>
        <w:t>/OUT</w:t>
      </w:r>
      <w:r w:rsidRPr="00B11BAC">
        <w:rPr>
          <w:caps/>
        </w:rPr>
        <w:t>-18</w:t>
      </w:r>
    </w:p>
    <w:p w14:paraId="7B430477" w14:textId="77777777" w:rsidR="00B11BAC" w:rsidRPr="00B11BAC" w:rsidRDefault="00B11BAC" w:rsidP="00B11BAC">
      <w:pPr>
        <w:rPr>
          <w:rFonts w:cstheme="minorBidi" w:hint="cs"/>
          <w:caps/>
          <w:cs/>
          <w:lang w:bidi="th-TH"/>
        </w:rPr>
      </w:pPr>
    </w:p>
    <w:p w14:paraId="6BE52EB9" w14:textId="56BEFD0E" w:rsidR="003777C8" w:rsidRPr="006B2B90" w:rsidRDefault="003777C8" w:rsidP="00B11BAC">
      <w:pPr>
        <w:rPr>
          <w:caps/>
        </w:rPr>
      </w:pPr>
    </w:p>
    <w:p w14:paraId="3FA3E822" w14:textId="1B327915" w:rsidR="003777C8" w:rsidRPr="007F4558" w:rsidRDefault="00C865ED" w:rsidP="003777C8">
      <w:pPr>
        <w:jc w:val="center"/>
        <w:rPr>
          <w:rFonts w:eastAsia="Malgun Gothic"/>
          <w:b/>
          <w:bCs/>
          <w:caps/>
        </w:rPr>
      </w:pPr>
      <w:r>
        <w:rPr>
          <w:b/>
          <w:bCs/>
        </w:rPr>
        <w:t>QUESTIONNAIRE ON</w:t>
      </w:r>
      <w:r w:rsidRPr="00AE48E6">
        <w:rPr>
          <w:b/>
          <w:bCs/>
        </w:rPr>
        <w:t xml:space="preserve"> PMSE FREQUENCY USAGE IN THE 470-806 MHZ BAND IN ASIA PACIFIC REGION</w:t>
      </w:r>
    </w:p>
    <w:p w14:paraId="373133F4" w14:textId="77777777" w:rsidR="00435E89" w:rsidRPr="004A2DAA" w:rsidRDefault="00435E89" w:rsidP="00435E89">
      <w:pPr>
        <w:rPr>
          <w:lang w:val="en-AU" w:eastAsia="ja-JP"/>
        </w:rPr>
      </w:pPr>
    </w:p>
    <w:p w14:paraId="20246A67" w14:textId="77777777" w:rsidR="00C865ED" w:rsidRPr="00235720" w:rsidRDefault="00C865ED" w:rsidP="00C865ED">
      <w:pPr>
        <w:spacing w:line="264" w:lineRule="auto"/>
        <w:jc w:val="both"/>
      </w:pPr>
    </w:p>
    <w:p w14:paraId="3012A75E" w14:textId="77777777" w:rsidR="00C865ED" w:rsidRPr="001D1503" w:rsidRDefault="00C865ED" w:rsidP="00C865ED">
      <w:pPr>
        <w:jc w:val="center"/>
        <w:rPr>
          <w:b/>
          <w:sz w:val="28"/>
          <w:szCs w:val="28"/>
        </w:rPr>
      </w:pPr>
      <w:r w:rsidRPr="001D1503">
        <w:rPr>
          <w:b/>
          <w:sz w:val="28"/>
          <w:szCs w:val="28"/>
        </w:rPr>
        <w:t>Section 1: Elementary Part</w:t>
      </w:r>
    </w:p>
    <w:p w14:paraId="56AB9298" w14:textId="77777777" w:rsidR="00C865ED" w:rsidRPr="001D1503" w:rsidRDefault="00C865ED" w:rsidP="00C865ED">
      <w:pPr>
        <w:jc w:val="center"/>
      </w:pPr>
    </w:p>
    <w:p w14:paraId="0F23BC12" w14:textId="77777777" w:rsidR="00C865ED" w:rsidRPr="001D1503" w:rsidRDefault="00C865ED" w:rsidP="00C865ED">
      <w:pPr>
        <w:numPr>
          <w:ilvl w:val="0"/>
          <w:numId w:val="21"/>
        </w:numPr>
        <w:jc w:val="both"/>
        <w:rPr>
          <w:b/>
        </w:rPr>
      </w:pPr>
      <w:r w:rsidRPr="001D1503">
        <w:rPr>
          <w:b/>
        </w:rPr>
        <w:t>Introduction:</w:t>
      </w:r>
    </w:p>
    <w:p w14:paraId="68F2B2C3" w14:textId="77777777" w:rsidR="00C865ED" w:rsidRDefault="00C865ED" w:rsidP="00C865ED">
      <w:pPr>
        <w:spacing w:before="120"/>
        <w:jc w:val="both"/>
        <w:rPr>
          <w:rFonts w:eastAsia="SimSun"/>
          <w:bCs/>
          <w:lang w:eastAsia="zh-CN"/>
        </w:rPr>
      </w:pPr>
      <w:r>
        <w:rPr>
          <w:rFonts w:eastAsia="SimSun"/>
          <w:bCs/>
          <w:lang w:eastAsia="zh-CN"/>
        </w:rPr>
        <w:t>In 2016, t</w:t>
      </w:r>
      <w:r w:rsidRPr="00937621">
        <w:rPr>
          <w:rFonts w:eastAsia="SimSun"/>
          <w:bCs/>
          <w:lang w:eastAsia="zh-CN"/>
        </w:rPr>
        <w:t>he Asia-Pacific Telecommunity (APT)</w:t>
      </w:r>
      <w:r>
        <w:rPr>
          <w:rFonts w:eastAsia="SimSun"/>
          <w:bCs/>
          <w:lang w:eastAsia="zh-CN"/>
        </w:rPr>
        <w:t xml:space="preserve"> adopted the APT Recommendation on </w:t>
      </w:r>
      <w:r w:rsidRPr="00937621">
        <w:rPr>
          <w:rFonts w:eastAsia="SimSun"/>
          <w:bCs/>
          <w:lang w:eastAsia="zh-CN"/>
        </w:rPr>
        <w:t>‘</w:t>
      </w:r>
      <w:r>
        <w:rPr>
          <w:rFonts w:eastAsia="SimSun"/>
          <w:bCs/>
          <w:lang w:eastAsia="zh-CN"/>
        </w:rPr>
        <w:t>F</w:t>
      </w:r>
      <w:r w:rsidRPr="00937621">
        <w:rPr>
          <w:rFonts w:eastAsia="SimSun"/>
          <w:bCs/>
          <w:lang w:eastAsia="zh-CN"/>
        </w:rPr>
        <w:t xml:space="preserve">requency arrangements for the implementation of </w:t>
      </w:r>
      <w:r>
        <w:rPr>
          <w:rFonts w:eastAsia="SimSun"/>
          <w:bCs/>
          <w:lang w:eastAsia="zh-CN"/>
        </w:rPr>
        <w:t>IMT</w:t>
      </w:r>
      <w:r w:rsidRPr="00937621">
        <w:rPr>
          <w:rFonts w:eastAsia="SimSun"/>
          <w:bCs/>
          <w:lang w:eastAsia="zh-CN"/>
        </w:rPr>
        <w:t xml:space="preserve"> in the band 698-806 </w:t>
      </w:r>
      <w:r>
        <w:rPr>
          <w:rFonts w:eastAsia="SimSun"/>
          <w:bCs/>
          <w:lang w:eastAsia="zh-CN"/>
        </w:rPr>
        <w:t>MH</w:t>
      </w:r>
      <w:r w:rsidRPr="00937621">
        <w:rPr>
          <w:rFonts w:eastAsia="SimSun"/>
          <w:bCs/>
          <w:lang w:eastAsia="zh-CN"/>
        </w:rPr>
        <w:t>z’</w:t>
      </w:r>
      <w:r>
        <w:rPr>
          <w:rFonts w:eastAsia="SimSun"/>
          <w:bCs/>
          <w:lang w:eastAsia="zh-CN"/>
        </w:rPr>
        <w:t xml:space="preserve"> when considering</w:t>
      </w:r>
      <w:r w:rsidRPr="00937621">
        <w:rPr>
          <w:rFonts w:eastAsia="SimSun"/>
          <w:bCs/>
          <w:lang w:eastAsia="zh-CN"/>
        </w:rPr>
        <w:t xml:space="preserve"> the harmonized frequency arrangements in the band of 698 - 806 MHz for mobile services will facilitate global roaming, economies of scale and availability of low-cost user equipment</w:t>
      </w:r>
      <w:r>
        <w:rPr>
          <w:rFonts w:eastAsia="SimSun"/>
          <w:bCs/>
          <w:lang w:eastAsia="zh-CN"/>
        </w:rPr>
        <w:t xml:space="preserve"> and </w:t>
      </w:r>
      <w:r w:rsidRPr="00937621">
        <w:rPr>
          <w:rFonts w:eastAsia="SimSun"/>
          <w:bCs/>
          <w:lang w:eastAsia="zh-CN"/>
        </w:rPr>
        <w:t>recognizing the needs of countries for low-cost mobile user equipment</w:t>
      </w:r>
      <w:r>
        <w:rPr>
          <w:rFonts w:eastAsia="SimSun"/>
          <w:bCs/>
          <w:lang w:eastAsia="zh-CN"/>
        </w:rPr>
        <w:t>.</w:t>
      </w:r>
    </w:p>
    <w:p w14:paraId="41C0D3D5" w14:textId="77777777" w:rsidR="00C865ED" w:rsidRDefault="00C865ED" w:rsidP="00C865ED">
      <w:pPr>
        <w:spacing w:before="120"/>
        <w:jc w:val="both"/>
        <w:rPr>
          <w:rFonts w:eastAsia="SimSun"/>
          <w:bCs/>
          <w:lang w:eastAsia="zh-CN"/>
        </w:rPr>
      </w:pPr>
      <w:r>
        <w:rPr>
          <w:rFonts w:eastAsia="SimSun"/>
          <w:bCs/>
          <w:lang w:eastAsia="zh-CN"/>
        </w:rPr>
        <w:t>The AWG/REP-79 on ‘</w:t>
      </w:r>
      <w:r w:rsidRPr="001B1D3D">
        <w:rPr>
          <w:rFonts w:eastAsia="SimSun"/>
          <w:bCs/>
          <w:lang w:eastAsia="zh-CN"/>
        </w:rPr>
        <w:t>Frequency Arrangements for IMT in the Band 470-698 MHz</w:t>
      </w:r>
      <w:r>
        <w:rPr>
          <w:rFonts w:eastAsia="SimSun"/>
          <w:bCs/>
          <w:lang w:eastAsia="zh-CN"/>
        </w:rPr>
        <w:t xml:space="preserve">’ is revising in AWG, which considering </w:t>
      </w:r>
      <w:proofErr w:type="gramStart"/>
      <w:r>
        <w:rPr>
          <w:rFonts w:eastAsia="SimSun"/>
          <w:bCs/>
          <w:lang w:eastAsia="zh-CN"/>
        </w:rPr>
        <w:t>to expand</w:t>
      </w:r>
      <w:proofErr w:type="gramEnd"/>
      <w:r>
        <w:rPr>
          <w:rFonts w:eastAsia="SimSun"/>
          <w:bCs/>
          <w:lang w:eastAsia="zh-CN"/>
        </w:rPr>
        <w:t xml:space="preserve"> the APT h</w:t>
      </w:r>
      <w:r w:rsidRPr="001B1D3D">
        <w:rPr>
          <w:rFonts w:eastAsia="SimSun"/>
          <w:bCs/>
          <w:lang w:eastAsia="zh-CN"/>
        </w:rPr>
        <w:t xml:space="preserve">armonized </w:t>
      </w:r>
      <w:r>
        <w:rPr>
          <w:rFonts w:eastAsia="SimSun"/>
          <w:bCs/>
          <w:lang w:eastAsia="zh-CN"/>
        </w:rPr>
        <w:t>b</w:t>
      </w:r>
      <w:r w:rsidRPr="001B1D3D">
        <w:rPr>
          <w:rFonts w:eastAsia="SimSun"/>
          <w:bCs/>
          <w:lang w:eastAsia="zh-CN"/>
        </w:rPr>
        <w:t xml:space="preserve">and </w:t>
      </w:r>
      <w:r>
        <w:rPr>
          <w:rFonts w:eastAsia="SimSun"/>
          <w:bCs/>
          <w:lang w:eastAsia="zh-CN"/>
        </w:rPr>
        <w:t>p</w:t>
      </w:r>
      <w:r w:rsidRPr="001B1D3D">
        <w:rPr>
          <w:rFonts w:eastAsia="SimSun"/>
          <w:bCs/>
          <w:lang w:eastAsia="zh-CN"/>
        </w:rPr>
        <w:t xml:space="preserve">lan for IMT </w:t>
      </w:r>
      <w:r>
        <w:rPr>
          <w:rFonts w:eastAsia="SimSun"/>
          <w:bCs/>
          <w:lang w:eastAsia="zh-CN"/>
        </w:rPr>
        <w:t>in to 2 time 40 MHz to address the need of APT countries. This work item is planned to finalize in AWG-30.</w:t>
      </w:r>
    </w:p>
    <w:p w14:paraId="1D8B68EC" w14:textId="0E4E0113" w:rsidR="00C865ED" w:rsidRPr="00C865ED" w:rsidRDefault="00C865ED" w:rsidP="00C865ED">
      <w:pPr>
        <w:spacing w:before="120"/>
        <w:jc w:val="both"/>
        <w:rPr>
          <w:rFonts w:eastAsia="SimSun"/>
          <w:bCs/>
          <w:lang w:eastAsia="zh-CN"/>
        </w:rPr>
      </w:pPr>
      <w:r w:rsidRPr="00C865ED">
        <w:rPr>
          <w:rFonts w:eastAsia="SimSun"/>
          <w:bCs/>
          <w:lang w:eastAsia="zh-CN"/>
        </w:rPr>
        <w:t>Programme Making and Special Events (PMSE</w:t>
      </w:r>
      <w:r>
        <w:rPr>
          <w:rStyle w:val="FootnoteReference"/>
          <w:rFonts w:eastAsia="SimSun"/>
          <w:bCs/>
          <w:lang w:eastAsia="zh-CN"/>
        </w:rPr>
        <w:footnoteReference w:id="1"/>
      </w:r>
      <w:r w:rsidRPr="00C865ED">
        <w:rPr>
          <w:rFonts w:eastAsia="SimSun"/>
          <w:bCs/>
          <w:lang w:eastAsia="zh-CN"/>
        </w:rPr>
        <w:t>) describes the service and applications that use radio spectrum to support the capture, production and broadcast of audio and video content consumed all over the world on a multitude of platforms. It relates typically to televised sport, outdoor music events, theatre productions, television light entertainment, feature film production and live television news gathering. However, it also encompasses many other applications, for example PMSE is used at exhibitions, conferences and educational institutions.</w:t>
      </w:r>
    </w:p>
    <w:p w14:paraId="0844F7B6" w14:textId="77777777" w:rsidR="00C865ED" w:rsidRPr="001D1503" w:rsidRDefault="00C865ED" w:rsidP="00C865ED">
      <w:pPr>
        <w:spacing w:before="120"/>
        <w:jc w:val="both"/>
        <w:rPr>
          <w:lang w:eastAsia="zh-CN"/>
        </w:rPr>
      </w:pPr>
      <w:r>
        <w:rPr>
          <w:bCs/>
          <w:iCs/>
        </w:rPr>
        <w:t>Many</w:t>
      </w:r>
      <w:r w:rsidRPr="00202EE8">
        <w:rPr>
          <w:bCs/>
          <w:iCs/>
        </w:rPr>
        <w:t xml:space="preserve"> </w:t>
      </w:r>
      <w:r>
        <w:rPr>
          <w:bCs/>
          <w:iCs/>
        </w:rPr>
        <w:t xml:space="preserve">national </w:t>
      </w:r>
      <w:r w:rsidRPr="00202EE8">
        <w:rPr>
          <w:bCs/>
          <w:iCs/>
        </w:rPr>
        <w:t>administrations</w:t>
      </w:r>
      <w:r>
        <w:rPr>
          <w:bCs/>
          <w:iCs/>
        </w:rPr>
        <w:t>,</w:t>
      </w:r>
      <w:r w:rsidRPr="00202EE8">
        <w:rPr>
          <w:bCs/>
          <w:iCs/>
        </w:rPr>
        <w:t xml:space="preserve"> </w:t>
      </w:r>
      <w:r>
        <w:rPr>
          <w:bCs/>
          <w:iCs/>
        </w:rPr>
        <w:t>including APT Members, decided and going to decide the</w:t>
      </w:r>
      <w:r w:rsidRPr="00202EE8">
        <w:rPr>
          <w:bCs/>
          <w:iCs/>
        </w:rPr>
        <w:t xml:space="preserve"> </w:t>
      </w:r>
      <w:r>
        <w:rPr>
          <w:bCs/>
          <w:iCs/>
        </w:rPr>
        <w:t xml:space="preserve">698-806 MHz </w:t>
      </w:r>
      <w:r w:rsidRPr="00202EE8">
        <w:rPr>
          <w:bCs/>
          <w:iCs/>
        </w:rPr>
        <w:t xml:space="preserve">band </w:t>
      </w:r>
      <w:r>
        <w:rPr>
          <w:bCs/>
          <w:iCs/>
        </w:rPr>
        <w:t>for</w:t>
      </w:r>
      <w:r w:rsidRPr="00202EE8">
        <w:rPr>
          <w:bCs/>
          <w:iCs/>
        </w:rPr>
        <w:t xml:space="preserve"> International Mobile Telecom</w:t>
      </w:r>
      <w:r>
        <w:rPr>
          <w:bCs/>
          <w:iCs/>
        </w:rPr>
        <w:t>munication system</w:t>
      </w:r>
      <w:r w:rsidRPr="00202EE8">
        <w:rPr>
          <w:bCs/>
          <w:iCs/>
        </w:rPr>
        <w:t xml:space="preserve"> (IMT)</w:t>
      </w:r>
      <w:r>
        <w:rPr>
          <w:bCs/>
          <w:iCs/>
        </w:rPr>
        <w:t xml:space="preserve"> implementation</w:t>
      </w:r>
      <w:r w:rsidRPr="00202EE8">
        <w:rPr>
          <w:bCs/>
          <w:iCs/>
        </w:rPr>
        <w:t xml:space="preserve">. Some </w:t>
      </w:r>
      <w:r>
        <w:rPr>
          <w:bCs/>
          <w:iCs/>
        </w:rPr>
        <w:t>national</w:t>
      </w:r>
      <w:r w:rsidRPr="00202EE8">
        <w:rPr>
          <w:bCs/>
          <w:iCs/>
        </w:rPr>
        <w:t xml:space="preserve"> administrations are also re-purposing the </w:t>
      </w:r>
      <w:r>
        <w:rPr>
          <w:bCs/>
          <w:iCs/>
        </w:rPr>
        <w:t>610-698</w:t>
      </w:r>
      <w:r w:rsidRPr="00202EE8">
        <w:rPr>
          <w:bCs/>
          <w:iCs/>
        </w:rPr>
        <w:t xml:space="preserve"> MHz band </w:t>
      </w:r>
      <w:r>
        <w:rPr>
          <w:bCs/>
          <w:iCs/>
        </w:rPr>
        <w:t xml:space="preserve">from </w:t>
      </w:r>
      <w:r w:rsidRPr="00937621">
        <w:rPr>
          <w:bCs/>
          <w:iCs/>
        </w:rPr>
        <w:t xml:space="preserve">the traditional terrestrial TV, to accommodate </w:t>
      </w:r>
      <w:r>
        <w:rPr>
          <w:bCs/>
          <w:iCs/>
        </w:rPr>
        <w:t xml:space="preserve">IMT </w:t>
      </w:r>
      <w:r w:rsidRPr="00202EE8">
        <w:rPr>
          <w:bCs/>
          <w:iCs/>
        </w:rPr>
        <w:t xml:space="preserve">as well. At the present time, these bands are used by PMSE for content creation. However, there is a general incompatibility in co-channel spectrum sharing between various services, such as </w:t>
      </w:r>
      <w:r>
        <w:rPr>
          <w:bCs/>
          <w:iCs/>
        </w:rPr>
        <w:t>IMT</w:t>
      </w:r>
      <w:r w:rsidRPr="00202EE8">
        <w:rPr>
          <w:bCs/>
          <w:iCs/>
        </w:rPr>
        <w:t xml:space="preserve"> and wireless PMSE </w:t>
      </w:r>
      <w:r>
        <w:rPr>
          <w:bCs/>
          <w:iCs/>
        </w:rPr>
        <w:t>equipment</w:t>
      </w:r>
      <w:r w:rsidRPr="00202EE8">
        <w:rPr>
          <w:bCs/>
          <w:iCs/>
        </w:rPr>
        <w:t xml:space="preserve">, </w:t>
      </w:r>
      <w:r>
        <w:rPr>
          <w:bCs/>
          <w:iCs/>
        </w:rPr>
        <w:t>s</w:t>
      </w:r>
      <w:r w:rsidRPr="00202EE8">
        <w:rPr>
          <w:bCs/>
          <w:iCs/>
        </w:rPr>
        <w:t>pecifically wireless microphones and similar devices</w:t>
      </w:r>
      <w:r>
        <w:rPr>
          <w:bCs/>
          <w:iCs/>
        </w:rPr>
        <w:t xml:space="preserve">, which are operating in the frequency range of 470-806 </w:t>
      </w:r>
      <w:proofErr w:type="spellStart"/>
      <w:r>
        <w:rPr>
          <w:bCs/>
          <w:iCs/>
        </w:rPr>
        <w:t>MHz</w:t>
      </w:r>
      <w:r w:rsidRPr="00202EE8">
        <w:rPr>
          <w:bCs/>
          <w:iCs/>
        </w:rPr>
        <w:t>.</w:t>
      </w:r>
      <w:proofErr w:type="spellEnd"/>
      <w:r>
        <w:rPr>
          <w:bCs/>
          <w:iCs/>
        </w:rPr>
        <w:t xml:space="preserve"> </w:t>
      </w:r>
      <w:r>
        <w:rPr>
          <w:lang w:eastAsia="zh-CN"/>
        </w:rPr>
        <w:t xml:space="preserve">It is reported on some interference cases between IMT systems and PMSE equipment operating in the same frequency in some APT countries. </w:t>
      </w:r>
    </w:p>
    <w:p w14:paraId="58DFA9A7" w14:textId="77777777" w:rsidR="00C865ED" w:rsidRDefault="00C865ED" w:rsidP="00C865ED">
      <w:pPr>
        <w:spacing w:before="120"/>
        <w:jc w:val="both"/>
        <w:rPr>
          <w:bCs/>
          <w:iCs/>
        </w:rPr>
      </w:pPr>
      <w:r w:rsidRPr="00202EE8">
        <w:rPr>
          <w:bCs/>
          <w:iCs/>
        </w:rPr>
        <w:t xml:space="preserve">Re-purposing of these bands in favor of IMT </w:t>
      </w:r>
      <w:r>
        <w:rPr>
          <w:bCs/>
          <w:iCs/>
        </w:rPr>
        <w:t>systems</w:t>
      </w:r>
      <w:r w:rsidRPr="00202EE8">
        <w:rPr>
          <w:bCs/>
          <w:iCs/>
        </w:rPr>
        <w:t xml:space="preserve"> is having a collateral effect of displacing </w:t>
      </w:r>
      <w:r>
        <w:rPr>
          <w:bCs/>
          <w:iCs/>
        </w:rPr>
        <w:t>some</w:t>
      </w:r>
      <w:r w:rsidRPr="00202EE8">
        <w:rPr>
          <w:bCs/>
          <w:iCs/>
        </w:rPr>
        <w:t xml:space="preserve"> percentage of PMSE </w:t>
      </w:r>
      <w:r>
        <w:rPr>
          <w:bCs/>
          <w:iCs/>
        </w:rPr>
        <w:t>equipment</w:t>
      </w:r>
      <w:r w:rsidRPr="00202EE8">
        <w:rPr>
          <w:bCs/>
          <w:iCs/>
        </w:rPr>
        <w:t xml:space="preserve">. </w:t>
      </w:r>
      <w:r>
        <w:rPr>
          <w:bCs/>
          <w:iCs/>
        </w:rPr>
        <w:t>Also,</w:t>
      </w:r>
      <w:r w:rsidRPr="00202EE8">
        <w:rPr>
          <w:bCs/>
          <w:iCs/>
        </w:rPr>
        <w:t xml:space="preserve"> </w:t>
      </w:r>
      <w:r>
        <w:rPr>
          <w:bCs/>
          <w:iCs/>
        </w:rPr>
        <w:t xml:space="preserve">there are </w:t>
      </w:r>
      <w:r w:rsidRPr="00202EE8">
        <w:rPr>
          <w:bCs/>
          <w:iCs/>
        </w:rPr>
        <w:t>transition</w:t>
      </w:r>
      <w:r>
        <w:rPr>
          <w:bCs/>
          <w:iCs/>
        </w:rPr>
        <w:t>s</w:t>
      </w:r>
      <w:r w:rsidRPr="00202EE8">
        <w:rPr>
          <w:bCs/>
          <w:iCs/>
        </w:rPr>
        <w:t xml:space="preserve"> from analogue TV </w:t>
      </w:r>
      <w:r>
        <w:rPr>
          <w:bCs/>
          <w:iCs/>
        </w:rPr>
        <w:t xml:space="preserve">in the band 470-806 MHz </w:t>
      </w:r>
      <w:r w:rsidRPr="00202EE8">
        <w:rPr>
          <w:bCs/>
          <w:iCs/>
        </w:rPr>
        <w:t xml:space="preserve">to digital TV and mobile broadband, it is in the interests of </w:t>
      </w:r>
      <w:r>
        <w:rPr>
          <w:bCs/>
          <w:iCs/>
        </w:rPr>
        <w:t>national</w:t>
      </w:r>
      <w:r w:rsidRPr="00202EE8">
        <w:rPr>
          <w:bCs/>
          <w:iCs/>
        </w:rPr>
        <w:t xml:space="preserve"> administrations and industry to examine, study, and </w:t>
      </w:r>
      <w:r>
        <w:rPr>
          <w:bCs/>
          <w:iCs/>
        </w:rPr>
        <w:t>spec</w:t>
      </w:r>
      <w:r w:rsidRPr="00202EE8">
        <w:rPr>
          <w:bCs/>
          <w:iCs/>
        </w:rPr>
        <w:t>ify frequency ban</w:t>
      </w:r>
      <w:r>
        <w:rPr>
          <w:bCs/>
          <w:iCs/>
        </w:rPr>
        <w:t xml:space="preserve">ds for </w:t>
      </w:r>
      <w:r w:rsidRPr="00202EE8">
        <w:rPr>
          <w:bCs/>
          <w:iCs/>
        </w:rPr>
        <w:t>PMSE</w:t>
      </w:r>
      <w:r>
        <w:rPr>
          <w:bCs/>
          <w:iCs/>
        </w:rPr>
        <w:t xml:space="preserve"> in and outside of TV bands, as well as the possibility of coexistence between </w:t>
      </w:r>
      <w:r w:rsidRPr="00202EE8">
        <w:rPr>
          <w:bCs/>
          <w:iCs/>
        </w:rPr>
        <w:t xml:space="preserve">PMSE </w:t>
      </w:r>
      <w:r>
        <w:rPr>
          <w:bCs/>
          <w:iCs/>
        </w:rPr>
        <w:t>and IMT in these bands</w:t>
      </w:r>
      <w:r w:rsidRPr="00202EE8">
        <w:rPr>
          <w:bCs/>
          <w:iCs/>
        </w:rPr>
        <w:t>.</w:t>
      </w:r>
    </w:p>
    <w:p w14:paraId="177C4FC6" w14:textId="77777777" w:rsidR="00C865ED" w:rsidRDefault="00C865ED" w:rsidP="00C865ED">
      <w:pPr>
        <w:spacing w:before="120"/>
        <w:jc w:val="both"/>
        <w:rPr>
          <w:bCs/>
          <w:iCs/>
        </w:rPr>
      </w:pPr>
      <w:r>
        <w:rPr>
          <w:bCs/>
          <w:iCs/>
        </w:rPr>
        <w:lastRenderedPageBreak/>
        <w:t>The</w:t>
      </w:r>
      <w:r w:rsidRPr="00202EE8">
        <w:rPr>
          <w:bCs/>
          <w:iCs/>
        </w:rPr>
        <w:t xml:space="preserve"> harmonization would provide economies of scale and logistical practicality, especially for networks and production companies that must cover events in multiple countries, such as global news, elections, international sport events, conferences, and concert tours. </w:t>
      </w:r>
    </w:p>
    <w:p w14:paraId="170D2C2F" w14:textId="77777777" w:rsidR="00C865ED" w:rsidRPr="00F15EE8" w:rsidRDefault="00C865ED" w:rsidP="00C865ED">
      <w:pPr>
        <w:spacing w:before="120"/>
        <w:jc w:val="both"/>
      </w:pPr>
      <w:r>
        <w:t>However</w:t>
      </w:r>
      <w:r w:rsidRPr="00F15EE8">
        <w:t xml:space="preserve">, the availability of spectrum for PMSE </w:t>
      </w:r>
      <w:r>
        <w:t>equipment</w:t>
      </w:r>
      <w:r w:rsidRPr="00F15EE8">
        <w:t xml:space="preserve"> is determined by national administrations, according to differing national PMSE requirements, </w:t>
      </w:r>
      <w:proofErr w:type="spellStart"/>
      <w:r w:rsidRPr="00F15EE8">
        <w:t>authorisation</w:t>
      </w:r>
      <w:proofErr w:type="spellEnd"/>
      <w:r w:rsidRPr="00F15EE8">
        <w:t xml:space="preserve"> mechanisms and divergent national frequency plans. </w:t>
      </w:r>
    </w:p>
    <w:p w14:paraId="6F64C4F6" w14:textId="77777777" w:rsidR="00C865ED" w:rsidRPr="00F15EE8" w:rsidRDefault="00C865ED" w:rsidP="00C865ED">
      <w:pPr>
        <w:spacing w:before="120"/>
        <w:jc w:val="both"/>
      </w:pPr>
      <w:r w:rsidRPr="00F15EE8">
        <w:t xml:space="preserve">This fragmentation of spectrum access contrasts with the preference of PMSE stakeholders that operate internationally for equipment that may be operated across multiple countries, and of PMSE equipment manufacturers for economies of scale to encourage innovation and investment in new equipment. </w:t>
      </w:r>
    </w:p>
    <w:p w14:paraId="07E512EC" w14:textId="77777777" w:rsidR="00C865ED" w:rsidRPr="00F15EE8" w:rsidRDefault="00C865ED" w:rsidP="00C865ED">
      <w:pPr>
        <w:spacing w:before="120"/>
        <w:jc w:val="both"/>
      </w:pPr>
      <w:r w:rsidRPr="00F15EE8">
        <w:t xml:space="preserve">Reconciling the requirements of PMSE users with the divergence in PMSE demand for spectrum and fragmentation of supply across administrations lies behind the recommended “tuning ranges” concept for PMSE. A “tuning range” is a range of frequencies over which radio equipment is envisaged to be capable of operating. Within this tuning range, the use in any </w:t>
      </w:r>
      <w:r>
        <w:t>single</w:t>
      </w:r>
      <w:r w:rsidRPr="00F15EE8">
        <w:t xml:space="preserve"> administration of radio equipment will be limited to the range of frequencies identified for PMSE nationally (if any) within that country and will be operated in accordance with the related national regulato</w:t>
      </w:r>
      <w:r>
        <w:t>ry conditions and requirements.</w:t>
      </w:r>
    </w:p>
    <w:p w14:paraId="7A139D74" w14:textId="77777777" w:rsidR="00C865ED" w:rsidRPr="001D1503" w:rsidRDefault="00C865ED" w:rsidP="00C865ED">
      <w:pPr>
        <w:spacing w:before="120"/>
        <w:jc w:val="both"/>
        <w:rPr>
          <w:lang w:eastAsia="zh-CN"/>
        </w:rPr>
      </w:pPr>
      <w:r>
        <w:rPr>
          <w:lang w:eastAsia="zh-CN"/>
        </w:rPr>
        <w:t xml:space="preserve">Furthermore, it is reported on interference cases between IMT systems and PMSE equipment operating in the same frequency in some APT countries. </w:t>
      </w:r>
    </w:p>
    <w:p w14:paraId="5D8C7468" w14:textId="77777777" w:rsidR="00C865ED" w:rsidRPr="001D1503" w:rsidRDefault="00C865ED" w:rsidP="00C865ED">
      <w:pPr>
        <w:ind w:left="360"/>
        <w:jc w:val="both"/>
        <w:rPr>
          <w:b/>
        </w:rPr>
      </w:pPr>
    </w:p>
    <w:p w14:paraId="705AB0FD" w14:textId="77777777" w:rsidR="00C865ED" w:rsidRPr="001D1503" w:rsidRDefault="00C865ED" w:rsidP="00C865ED">
      <w:pPr>
        <w:numPr>
          <w:ilvl w:val="0"/>
          <w:numId w:val="21"/>
        </w:numPr>
        <w:jc w:val="both"/>
        <w:rPr>
          <w:b/>
        </w:rPr>
      </w:pPr>
      <w:r w:rsidRPr="001D1503">
        <w:rPr>
          <w:b/>
        </w:rPr>
        <w:t>Objective of the Questionnaire:</w:t>
      </w:r>
    </w:p>
    <w:p w14:paraId="6244D9BC" w14:textId="77777777" w:rsidR="00C865ED" w:rsidRPr="001D1503" w:rsidRDefault="00C865ED" w:rsidP="00C865ED">
      <w:pPr>
        <w:spacing w:before="120"/>
        <w:jc w:val="both"/>
        <w:rPr>
          <w:rFonts w:eastAsia="MS Mincho"/>
          <w:lang w:eastAsia="ja-JP"/>
        </w:rPr>
      </w:pPr>
      <w:r w:rsidRPr="001D1503">
        <w:rPr>
          <w:rFonts w:eastAsia="Malgun Gothic"/>
        </w:rPr>
        <w:t xml:space="preserve">This survey is to collect </w:t>
      </w:r>
      <w:r w:rsidRPr="001D1503">
        <w:rPr>
          <w:rFonts w:eastAsia="SimSun"/>
          <w:lang w:eastAsia="zh-CN"/>
        </w:rPr>
        <w:t xml:space="preserve">information of regulation </w:t>
      </w:r>
      <w:r>
        <w:rPr>
          <w:rFonts w:eastAsia="SimSun"/>
          <w:lang w:eastAsia="zh-CN"/>
        </w:rPr>
        <w:t xml:space="preserve">and frequency usage of PMSE equipment in </w:t>
      </w:r>
      <w:r w:rsidRPr="001D1503">
        <w:rPr>
          <w:rFonts w:eastAsia="SimSun"/>
          <w:iCs/>
          <w:lang w:val="en-GB" w:eastAsia="zh-CN"/>
        </w:rPr>
        <w:t xml:space="preserve">the bands </w:t>
      </w:r>
      <w:r>
        <w:t>470-806 M</w:t>
      </w:r>
      <w:r w:rsidRPr="001D1503">
        <w:t>Hz</w:t>
      </w:r>
      <w:r w:rsidRPr="001D1503">
        <w:rPr>
          <w:rFonts w:eastAsia="SimSun"/>
          <w:lang w:eastAsia="zh-CN"/>
        </w:rPr>
        <w:t xml:space="preserve"> in Asia</w:t>
      </w:r>
      <w:r w:rsidRPr="001D1503">
        <w:rPr>
          <w:rFonts w:eastAsia="MS Mincho"/>
          <w:lang w:eastAsia="ja-JP"/>
        </w:rPr>
        <w:t xml:space="preserve"> </w:t>
      </w:r>
      <w:r w:rsidRPr="001D1503">
        <w:rPr>
          <w:rFonts w:eastAsia="SimSun"/>
          <w:lang w:eastAsia="zh-CN"/>
        </w:rPr>
        <w:t>Pacific region</w:t>
      </w:r>
      <w:r w:rsidRPr="001D1503">
        <w:rPr>
          <w:rFonts w:eastAsia="Malgun Gothic"/>
        </w:rPr>
        <w:t>. Based on the results of the survey,</w:t>
      </w:r>
      <w:r w:rsidRPr="001D1503">
        <w:rPr>
          <w:rFonts w:eastAsia="SimSun"/>
          <w:lang w:eastAsia="zh-CN"/>
        </w:rPr>
        <w:t xml:space="preserve"> </w:t>
      </w:r>
      <w:r w:rsidRPr="001D1503">
        <w:rPr>
          <w:rFonts w:eastAsia="Malgun Gothic"/>
        </w:rPr>
        <w:t xml:space="preserve">an APT report on </w:t>
      </w:r>
      <w:r w:rsidRPr="001D1503">
        <w:rPr>
          <w:lang w:eastAsia="zh-CN"/>
        </w:rPr>
        <w:t>regulation status</w:t>
      </w:r>
      <w:r w:rsidRPr="001D1503">
        <w:rPr>
          <w:rFonts w:eastAsia="Malgun Gothic"/>
        </w:rPr>
        <w:t xml:space="preserve"> </w:t>
      </w:r>
      <w:r>
        <w:rPr>
          <w:rFonts w:eastAsia="Malgun Gothic"/>
        </w:rPr>
        <w:t xml:space="preserve">and </w:t>
      </w:r>
      <w:r>
        <w:rPr>
          <w:rFonts w:eastAsia="SimSun"/>
          <w:lang w:eastAsia="zh-CN"/>
        </w:rPr>
        <w:t>frequency usage of PMSE equipment in</w:t>
      </w:r>
      <w:r w:rsidRPr="001D1503">
        <w:rPr>
          <w:rFonts w:eastAsia="Malgun Gothic"/>
        </w:rPr>
        <w:t xml:space="preserve"> the band</w:t>
      </w:r>
      <w:r>
        <w:rPr>
          <w:rFonts w:eastAsia="Malgun Gothic"/>
        </w:rPr>
        <w:t xml:space="preserve"> 470-806 MHz</w:t>
      </w:r>
      <w:r w:rsidRPr="001D1503">
        <w:rPr>
          <w:rFonts w:eastAsia="Malgun Gothic"/>
        </w:rPr>
        <w:t xml:space="preserve"> </w:t>
      </w:r>
      <w:r w:rsidRPr="001D1503">
        <w:rPr>
          <w:rFonts w:eastAsia="SimSun"/>
          <w:lang w:eastAsia="zh-CN"/>
        </w:rPr>
        <w:t>in Asia</w:t>
      </w:r>
      <w:r w:rsidRPr="001D1503">
        <w:rPr>
          <w:rFonts w:eastAsia="MS Mincho"/>
          <w:lang w:eastAsia="ja-JP"/>
        </w:rPr>
        <w:t xml:space="preserve"> </w:t>
      </w:r>
      <w:r w:rsidRPr="001D1503">
        <w:rPr>
          <w:rFonts w:eastAsia="SimSun"/>
          <w:lang w:eastAsia="zh-CN"/>
        </w:rPr>
        <w:t>Pacific region</w:t>
      </w:r>
      <w:r w:rsidRPr="001D1503">
        <w:rPr>
          <w:rFonts w:eastAsia="Malgun Gothic"/>
        </w:rPr>
        <w:t xml:space="preserve"> w</w:t>
      </w:r>
      <w:r w:rsidRPr="001D1503">
        <w:rPr>
          <w:rFonts w:eastAsia="SimSun"/>
          <w:lang w:eastAsia="zh-CN"/>
        </w:rPr>
        <w:t>ill</w:t>
      </w:r>
      <w:r w:rsidRPr="001D1503">
        <w:rPr>
          <w:rFonts w:eastAsia="Malgun Gothic"/>
        </w:rPr>
        <w:t xml:space="preserve"> be developed </w:t>
      </w:r>
      <w:r w:rsidRPr="001D1503">
        <w:rPr>
          <w:rFonts w:eastAsia="MS Mincho"/>
          <w:lang w:eastAsia="ja-JP"/>
        </w:rPr>
        <w:t>for APT Members’ information.</w:t>
      </w:r>
      <w:r w:rsidRPr="001D1503">
        <w:rPr>
          <w:rFonts w:eastAsia="SimSun"/>
          <w:lang w:val="en-GB" w:eastAsia="zh-CN"/>
        </w:rPr>
        <w:t xml:space="preserve"> </w:t>
      </w:r>
    </w:p>
    <w:p w14:paraId="0661FD02" w14:textId="77777777" w:rsidR="00C865ED" w:rsidRPr="001D1503" w:rsidRDefault="00C865ED" w:rsidP="00C865ED">
      <w:pPr>
        <w:ind w:left="360"/>
        <w:rPr>
          <w:b/>
        </w:rPr>
      </w:pPr>
    </w:p>
    <w:p w14:paraId="7833E4EE" w14:textId="77777777" w:rsidR="00C865ED" w:rsidRPr="001D1503" w:rsidRDefault="00C865ED" w:rsidP="00C865ED">
      <w:pPr>
        <w:numPr>
          <w:ilvl w:val="0"/>
          <w:numId w:val="21"/>
        </w:numPr>
        <w:jc w:val="both"/>
        <w:rPr>
          <w:b/>
        </w:rPr>
      </w:pPr>
      <w:r w:rsidRPr="001D1503">
        <w:rPr>
          <w:b/>
        </w:rPr>
        <w:t>Responsible Group:</w:t>
      </w:r>
    </w:p>
    <w:p w14:paraId="79E268EE" w14:textId="77777777" w:rsidR="00C865ED" w:rsidRDefault="00C865ED" w:rsidP="00C865ED">
      <w:pPr>
        <w:ind w:left="360"/>
      </w:pPr>
      <w:r w:rsidRPr="001E7AF6">
        <w:t>Sub-Working Group on Spectrum Arrangement and Harmonization</w:t>
      </w:r>
      <w:r>
        <w:t xml:space="preserve"> </w:t>
      </w:r>
      <w:r w:rsidRPr="001E7AF6">
        <w:t>(SWG SA&amp;H)</w:t>
      </w:r>
    </w:p>
    <w:p w14:paraId="7DE07701" w14:textId="77777777" w:rsidR="00C865ED" w:rsidRPr="001D1503" w:rsidRDefault="00C865ED" w:rsidP="00C865ED">
      <w:pPr>
        <w:ind w:left="360"/>
      </w:pPr>
    </w:p>
    <w:p w14:paraId="27426E01" w14:textId="77777777" w:rsidR="00C865ED" w:rsidRPr="001D1503" w:rsidRDefault="00C865ED" w:rsidP="00C865ED">
      <w:pPr>
        <w:numPr>
          <w:ilvl w:val="0"/>
          <w:numId w:val="21"/>
        </w:numPr>
        <w:jc w:val="both"/>
        <w:rPr>
          <w:b/>
        </w:rPr>
      </w:pPr>
      <w:r w:rsidRPr="001D1503">
        <w:rPr>
          <w:b/>
        </w:rPr>
        <w:t>Rapporteur of the Questionnaire:</w:t>
      </w:r>
    </w:p>
    <w:p w14:paraId="3A82F3F5" w14:textId="77777777" w:rsidR="00C865ED" w:rsidRPr="001D1503" w:rsidRDefault="00C865ED" w:rsidP="00C865ED">
      <w:pPr>
        <w:ind w:left="360"/>
      </w:pPr>
      <w:r w:rsidRPr="001E7AF6">
        <w:t>Ms. Lyu Boya</w:t>
      </w:r>
      <w:r w:rsidRPr="001D1503">
        <w:t xml:space="preserve"> (Chair</w:t>
      </w:r>
      <w:r>
        <w:t>person</w:t>
      </w:r>
      <w:r w:rsidRPr="001D1503">
        <w:t xml:space="preserve"> of </w:t>
      </w:r>
      <w:r>
        <w:t>SW</w:t>
      </w:r>
      <w:r w:rsidRPr="001D1503">
        <w:t xml:space="preserve">G </w:t>
      </w:r>
      <w:r>
        <w:t>SA&amp;H</w:t>
      </w:r>
      <w:r w:rsidRPr="001D1503">
        <w:t>)</w:t>
      </w:r>
    </w:p>
    <w:p w14:paraId="4CD5BE71" w14:textId="77777777" w:rsidR="00C865ED" w:rsidRPr="001D1503" w:rsidRDefault="00C865ED" w:rsidP="00C865ED">
      <w:pPr>
        <w:ind w:left="360"/>
      </w:pPr>
    </w:p>
    <w:p w14:paraId="3EF7D6FC" w14:textId="77777777" w:rsidR="00C865ED" w:rsidRPr="001D1503" w:rsidRDefault="00C865ED" w:rsidP="00C865ED">
      <w:pPr>
        <w:numPr>
          <w:ilvl w:val="0"/>
          <w:numId w:val="21"/>
        </w:numPr>
        <w:jc w:val="both"/>
        <w:rPr>
          <w:b/>
        </w:rPr>
      </w:pPr>
      <w:r w:rsidRPr="001D1503">
        <w:rPr>
          <w:b/>
        </w:rPr>
        <w:t>Meeting at which the Questionnaire was approved:</w:t>
      </w:r>
    </w:p>
    <w:p w14:paraId="0FF4FE16" w14:textId="451C1734" w:rsidR="00C865ED" w:rsidRPr="001D1503" w:rsidRDefault="00C865ED" w:rsidP="00C865ED">
      <w:pPr>
        <w:ind w:left="360"/>
      </w:pPr>
      <w:r w:rsidRPr="001D1503">
        <w:t>AWG-</w:t>
      </w:r>
      <w:r>
        <w:t>30</w:t>
      </w:r>
      <w:r w:rsidRPr="001D1503">
        <w:t xml:space="preserve"> Document: AWG-</w:t>
      </w:r>
      <w:r>
        <w:t>30</w:t>
      </w:r>
      <w:r w:rsidRPr="001D1503">
        <w:t>/OUT-</w:t>
      </w:r>
      <w:r w:rsidR="00B11BAC">
        <w:t>18</w:t>
      </w:r>
      <w:r w:rsidRPr="001D1503">
        <w:t xml:space="preserve"> </w:t>
      </w:r>
    </w:p>
    <w:p w14:paraId="44C43BF4" w14:textId="77777777" w:rsidR="00C865ED" w:rsidRPr="001D1503" w:rsidRDefault="00C865ED" w:rsidP="00C865ED">
      <w:pPr>
        <w:rPr>
          <w:b/>
        </w:rPr>
      </w:pPr>
    </w:p>
    <w:p w14:paraId="373CCEB1" w14:textId="77777777" w:rsidR="00C865ED" w:rsidRPr="001D1503" w:rsidRDefault="00C865ED" w:rsidP="00C865ED">
      <w:pPr>
        <w:numPr>
          <w:ilvl w:val="0"/>
          <w:numId w:val="21"/>
        </w:numPr>
        <w:jc w:val="both"/>
        <w:rPr>
          <w:b/>
        </w:rPr>
      </w:pPr>
      <w:r w:rsidRPr="001D1503">
        <w:rPr>
          <w:b/>
        </w:rPr>
        <w:t>Target Responder:</w:t>
      </w:r>
    </w:p>
    <w:p w14:paraId="43548D31" w14:textId="77777777" w:rsidR="00C865ED" w:rsidRPr="001D1503" w:rsidRDefault="00C865ED" w:rsidP="00C865ED">
      <w:pPr>
        <w:ind w:left="360"/>
      </w:pPr>
      <w:r w:rsidRPr="001D1503">
        <w:t>APT Members</w:t>
      </w:r>
      <w:r>
        <w:t xml:space="preserve"> </w:t>
      </w:r>
    </w:p>
    <w:p w14:paraId="1DB975CE" w14:textId="77777777" w:rsidR="00C865ED" w:rsidRPr="001D1503" w:rsidRDefault="00C865ED" w:rsidP="00C865ED">
      <w:pPr>
        <w:ind w:left="360"/>
      </w:pPr>
      <w:r w:rsidRPr="001D1503">
        <w:t xml:space="preserve"> </w:t>
      </w:r>
    </w:p>
    <w:p w14:paraId="6EE933FA" w14:textId="77777777" w:rsidR="00C865ED" w:rsidRPr="001D1503" w:rsidRDefault="00C865ED" w:rsidP="00C865ED">
      <w:pPr>
        <w:numPr>
          <w:ilvl w:val="0"/>
          <w:numId w:val="21"/>
        </w:numPr>
        <w:jc w:val="both"/>
        <w:rPr>
          <w:b/>
        </w:rPr>
      </w:pPr>
      <w:r w:rsidRPr="001D1503">
        <w:rPr>
          <w:b/>
        </w:rPr>
        <w:t>Deadline for Responses:</w:t>
      </w:r>
    </w:p>
    <w:p w14:paraId="46B31F2A" w14:textId="77777777" w:rsidR="00C865ED" w:rsidRPr="001D1503" w:rsidRDefault="00C865ED" w:rsidP="00C865ED">
      <w:pPr>
        <w:ind w:left="360"/>
        <w:rPr>
          <w:b/>
          <w:sz w:val="28"/>
          <w:szCs w:val="28"/>
        </w:rPr>
      </w:pPr>
      <w:r>
        <w:t>AWG-31</w:t>
      </w:r>
    </w:p>
    <w:p w14:paraId="60BF744F" w14:textId="77777777" w:rsidR="00C865ED" w:rsidRPr="001D1503" w:rsidRDefault="00C865ED" w:rsidP="00C865ED">
      <w:pPr>
        <w:jc w:val="center"/>
        <w:rPr>
          <w:b/>
          <w:sz w:val="28"/>
          <w:szCs w:val="28"/>
        </w:rPr>
      </w:pPr>
    </w:p>
    <w:p w14:paraId="7A7429AD" w14:textId="61B2FAB5" w:rsidR="00C865ED" w:rsidRPr="001D1503" w:rsidRDefault="00C865ED" w:rsidP="00B11BAC">
      <w:pPr>
        <w:rPr>
          <w:b/>
          <w:sz w:val="28"/>
          <w:szCs w:val="28"/>
        </w:rPr>
      </w:pPr>
      <w:r>
        <w:rPr>
          <w:b/>
          <w:sz w:val="28"/>
          <w:szCs w:val="28"/>
        </w:rPr>
        <w:br w:type="page"/>
      </w:r>
    </w:p>
    <w:p w14:paraId="556FDD23" w14:textId="77777777" w:rsidR="00C865ED" w:rsidRPr="001D1503" w:rsidRDefault="00C865ED" w:rsidP="00C865ED">
      <w:pPr>
        <w:jc w:val="center"/>
        <w:rPr>
          <w:b/>
          <w:sz w:val="28"/>
          <w:szCs w:val="28"/>
        </w:rPr>
      </w:pPr>
      <w:r w:rsidRPr="001D1503">
        <w:rPr>
          <w:b/>
          <w:sz w:val="28"/>
          <w:szCs w:val="28"/>
        </w:rPr>
        <w:lastRenderedPageBreak/>
        <w:t>Section 2: Questionnaire Part</w:t>
      </w:r>
    </w:p>
    <w:p w14:paraId="3F837B54" w14:textId="77777777" w:rsidR="00C865ED" w:rsidRPr="001D1503" w:rsidRDefault="00C865ED" w:rsidP="00C865ED">
      <w:pPr>
        <w:jc w:val="center"/>
        <w:rPr>
          <w:b/>
          <w:sz w:val="28"/>
          <w:szCs w:val="28"/>
        </w:rPr>
      </w:pPr>
    </w:p>
    <w:p w14:paraId="321F29C5" w14:textId="77777777" w:rsidR="00C865ED" w:rsidRPr="001D1503" w:rsidRDefault="00C865ED" w:rsidP="00C865ED">
      <w:pPr>
        <w:rPr>
          <w:b/>
        </w:rPr>
      </w:pPr>
      <w:r w:rsidRPr="001D1503">
        <w:rPr>
          <w:rFonts w:eastAsia="MS Mincho"/>
          <w:b/>
          <w:lang w:eastAsia="ja-JP"/>
        </w:rPr>
        <w:t>Questions</w:t>
      </w:r>
      <w:r w:rsidRPr="001D1503">
        <w:rPr>
          <w:b/>
        </w:rPr>
        <w:t>:</w:t>
      </w:r>
    </w:p>
    <w:p w14:paraId="709245C0" w14:textId="77777777" w:rsidR="00C865ED" w:rsidRPr="001D1503" w:rsidRDefault="00C865ED" w:rsidP="00C865ED">
      <w:pPr>
        <w:pStyle w:val="ListParagraph"/>
        <w:spacing w:before="120"/>
        <w:ind w:left="960"/>
        <w:rPr>
          <w:rFonts w:ascii="Times New Roman" w:hAnsi="Times New Roman" w:cs="Times New Roman"/>
          <w:b/>
        </w:rPr>
      </w:pPr>
    </w:p>
    <w:p w14:paraId="368AD920" w14:textId="77777777" w:rsidR="00C865ED" w:rsidRPr="00C52D15" w:rsidRDefault="00C865ED" w:rsidP="00C865ED">
      <w:pPr>
        <w:pStyle w:val="ListParagraph"/>
        <w:numPr>
          <w:ilvl w:val="0"/>
          <w:numId w:val="22"/>
        </w:numPr>
        <w:spacing w:before="120"/>
        <w:contextualSpacing w:val="0"/>
        <w:rPr>
          <w:rFonts w:ascii="Times New Roman" w:hAnsi="Times New Roman" w:cs="Times New Roman"/>
          <w:b/>
          <w:lang w:eastAsia="zh-CN"/>
        </w:rPr>
      </w:pPr>
      <w:r w:rsidRPr="00C52D15">
        <w:rPr>
          <w:rFonts w:ascii="Times New Roman" w:hAnsi="Times New Roman" w:cs="Times New Roman"/>
          <w:b/>
          <w:lang w:eastAsia="zh-CN"/>
        </w:rPr>
        <w:t xml:space="preserve">What are the existing </w:t>
      </w:r>
      <w:r>
        <w:rPr>
          <w:rFonts w:ascii="Times New Roman" w:hAnsi="Times New Roman" w:cs="Times New Roman"/>
          <w:b/>
          <w:lang w:eastAsia="zh-CN"/>
        </w:rPr>
        <w:t>services and systems</w:t>
      </w:r>
      <w:r w:rsidRPr="00C52D15">
        <w:rPr>
          <w:rFonts w:ascii="Times New Roman" w:hAnsi="Times New Roman" w:cs="Times New Roman"/>
          <w:b/>
          <w:lang w:eastAsia="zh-CN"/>
        </w:rPr>
        <w:t xml:space="preserve"> in your country for frequency band 470 – 806 MHz and the incumbent applications?</w:t>
      </w:r>
    </w:p>
    <w:p w14:paraId="07B87C91" w14:textId="77777777" w:rsidR="00C865ED" w:rsidRPr="00C52D15" w:rsidRDefault="00C865ED" w:rsidP="00C865ED">
      <w:pPr>
        <w:spacing w:before="120"/>
        <w:ind w:left="360"/>
        <w:rPr>
          <w:b/>
          <w:i/>
          <w:lang w:eastAsia="zh-CN"/>
        </w:rPr>
      </w:pPr>
      <w:r w:rsidRPr="00C52D15">
        <w:rPr>
          <w:b/>
          <w:i/>
          <w:lang w:eastAsia="zh-CN"/>
        </w:rPr>
        <w:t xml:space="preserve">Answer: </w:t>
      </w:r>
    </w:p>
    <w:tbl>
      <w:tblPr>
        <w:tblStyle w:val="TableGrid"/>
        <w:tblW w:w="0" w:type="auto"/>
        <w:tblLook w:val="04A0" w:firstRow="1" w:lastRow="0" w:firstColumn="1" w:lastColumn="0" w:noHBand="0" w:noVBand="1"/>
      </w:tblPr>
      <w:tblGrid>
        <w:gridCol w:w="3020"/>
        <w:gridCol w:w="3020"/>
        <w:gridCol w:w="3021"/>
      </w:tblGrid>
      <w:tr w:rsidR="00C865ED" w14:paraId="132DB92F" w14:textId="77777777" w:rsidTr="00276677">
        <w:tc>
          <w:tcPr>
            <w:tcW w:w="3020" w:type="dxa"/>
          </w:tcPr>
          <w:p w14:paraId="4B8F7548" w14:textId="77777777" w:rsidR="00C865ED" w:rsidRDefault="00C865ED" w:rsidP="00276677">
            <w:pPr>
              <w:spacing w:before="120"/>
              <w:jc w:val="center"/>
              <w:rPr>
                <w:b/>
              </w:rPr>
            </w:pPr>
            <w:r>
              <w:rPr>
                <w:b/>
              </w:rPr>
              <w:t>Band</w:t>
            </w:r>
          </w:p>
        </w:tc>
        <w:tc>
          <w:tcPr>
            <w:tcW w:w="3020" w:type="dxa"/>
          </w:tcPr>
          <w:p w14:paraId="5993243F" w14:textId="77777777" w:rsidR="00C865ED" w:rsidRDefault="00C865ED" w:rsidP="00276677">
            <w:pPr>
              <w:spacing w:before="120"/>
              <w:jc w:val="center"/>
              <w:rPr>
                <w:b/>
              </w:rPr>
            </w:pPr>
            <w:r>
              <w:rPr>
                <w:b/>
              </w:rPr>
              <w:t>Services</w:t>
            </w:r>
          </w:p>
        </w:tc>
        <w:tc>
          <w:tcPr>
            <w:tcW w:w="3021" w:type="dxa"/>
          </w:tcPr>
          <w:p w14:paraId="7CE25D99" w14:textId="77777777" w:rsidR="00C865ED" w:rsidRDefault="00C865ED" w:rsidP="00276677">
            <w:pPr>
              <w:spacing w:before="120"/>
              <w:jc w:val="center"/>
              <w:rPr>
                <w:b/>
              </w:rPr>
            </w:pPr>
            <w:r>
              <w:rPr>
                <w:b/>
              </w:rPr>
              <w:t>Systems</w:t>
            </w:r>
          </w:p>
        </w:tc>
      </w:tr>
      <w:tr w:rsidR="00C865ED" w:rsidRPr="004A2AE3" w14:paraId="7D3879B8" w14:textId="77777777" w:rsidTr="00276677">
        <w:tc>
          <w:tcPr>
            <w:tcW w:w="3020" w:type="dxa"/>
          </w:tcPr>
          <w:p w14:paraId="5C260AA0" w14:textId="77777777" w:rsidR="00C865ED" w:rsidRPr="004A2AE3" w:rsidRDefault="00C865ED" w:rsidP="00276677">
            <w:pPr>
              <w:spacing w:before="120"/>
            </w:pPr>
            <w:r w:rsidRPr="004A2AE3">
              <w:t>470 – 610 MHz</w:t>
            </w:r>
          </w:p>
        </w:tc>
        <w:tc>
          <w:tcPr>
            <w:tcW w:w="3020" w:type="dxa"/>
          </w:tcPr>
          <w:p w14:paraId="3A729210" w14:textId="77777777" w:rsidR="00C865ED" w:rsidRDefault="00C865ED" w:rsidP="00276677">
            <w:pPr>
              <w:spacing w:before="120"/>
            </w:pPr>
            <w:r>
              <w:t>Example:</w:t>
            </w:r>
          </w:p>
          <w:p w14:paraId="585A45E7" w14:textId="77777777" w:rsidR="00C865ED" w:rsidRPr="004A2AE3" w:rsidRDefault="00C865ED" w:rsidP="00276677">
            <w:pPr>
              <w:spacing w:before="120"/>
            </w:pPr>
            <w:r>
              <w:t>[Broadcasting Service]</w:t>
            </w:r>
          </w:p>
        </w:tc>
        <w:tc>
          <w:tcPr>
            <w:tcW w:w="3021" w:type="dxa"/>
          </w:tcPr>
          <w:p w14:paraId="1A38A3CF" w14:textId="77777777" w:rsidR="00C865ED" w:rsidRDefault="00C865ED" w:rsidP="00276677">
            <w:pPr>
              <w:spacing w:before="120"/>
            </w:pPr>
            <w:r>
              <w:t>Example:</w:t>
            </w:r>
          </w:p>
          <w:p w14:paraId="09F0FD77" w14:textId="77777777" w:rsidR="00C865ED" w:rsidRPr="004A2AE3" w:rsidRDefault="00C865ED" w:rsidP="00276677">
            <w:pPr>
              <w:spacing w:before="120"/>
            </w:pPr>
            <w:r>
              <w:t>[DTTV, PMSE]</w:t>
            </w:r>
          </w:p>
        </w:tc>
      </w:tr>
      <w:tr w:rsidR="00C865ED" w:rsidRPr="004A2AE3" w14:paraId="0D5BAB06" w14:textId="77777777" w:rsidTr="00276677">
        <w:tc>
          <w:tcPr>
            <w:tcW w:w="3020" w:type="dxa"/>
          </w:tcPr>
          <w:p w14:paraId="7AA29096" w14:textId="77777777" w:rsidR="00C865ED" w:rsidRPr="004A2AE3" w:rsidRDefault="00C865ED" w:rsidP="00276677">
            <w:pPr>
              <w:spacing w:before="120"/>
            </w:pPr>
            <w:r>
              <w:t>610 – 698 MHz</w:t>
            </w:r>
          </w:p>
        </w:tc>
        <w:tc>
          <w:tcPr>
            <w:tcW w:w="3020" w:type="dxa"/>
          </w:tcPr>
          <w:p w14:paraId="4991B75D" w14:textId="77777777" w:rsidR="00C865ED" w:rsidRDefault="00C865ED" w:rsidP="00276677">
            <w:pPr>
              <w:spacing w:before="120"/>
            </w:pPr>
            <w:r>
              <w:t>Example:</w:t>
            </w:r>
          </w:p>
          <w:p w14:paraId="763441C6" w14:textId="77777777" w:rsidR="00C865ED" w:rsidRPr="004A2AE3" w:rsidRDefault="00C865ED" w:rsidP="00276677">
            <w:pPr>
              <w:spacing w:before="120"/>
            </w:pPr>
            <w:r>
              <w:t>[Mobile Service]</w:t>
            </w:r>
          </w:p>
        </w:tc>
        <w:tc>
          <w:tcPr>
            <w:tcW w:w="3021" w:type="dxa"/>
          </w:tcPr>
          <w:p w14:paraId="4DCC44B6" w14:textId="77777777" w:rsidR="00C865ED" w:rsidRDefault="00C865ED" w:rsidP="00276677">
            <w:pPr>
              <w:spacing w:before="120"/>
            </w:pPr>
            <w:r>
              <w:t>Example:</w:t>
            </w:r>
          </w:p>
          <w:p w14:paraId="3074D6A8" w14:textId="77777777" w:rsidR="00C865ED" w:rsidRPr="004A2AE3" w:rsidRDefault="00C865ED" w:rsidP="00276677">
            <w:pPr>
              <w:spacing w:before="120"/>
            </w:pPr>
            <w:r>
              <w:t>[IMT, PMSE]</w:t>
            </w:r>
          </w:p>
        </w:tc>
      </w:tr>
      <w:tr w:rsidR="00C865ED" w:rsidRPr="004A2AE3" w14:paraId="79138373" w14:textId="77777777" w:rsidTr="00276677">
        <w:tc>
          <w:tcPr>
            <w:tcW w:w="3020" w:type="dxa"/>
          </w:tcPr>
          <w:p w14:paraId="10BCBD4E" w14:textId="77777777" w:rsidR="00C865ED" w:rsidRDefault="00C865ED" w:rsidP="00276677">
            <w:pPr>
              <w:spacing w:before="120"/>
            </w:pPr>
            <w:r>
              <w:t>698 – 806 MHz</w:t>
            </w:r>
          </w:p>
        </w:tc>
        <w:tc>
          <w:tcPr>
            <w:tcW w:w="3020" w:type="dxa"/>
          </w:tcPr>
          <w:p w14:paraId="33B70EB0" w14:textId="77777777" w:rsidR="00C865ED" w:rsidRPr="004A2AE3" w:rsidRDefault="00C865ED" w:rsidP="00276677">
            <w:pPr>
              <w:spacing w:before="120"/>
            </w:pPr>
          </w:p>
        </w:tc>
        <w:tc>
          <w:tcPr>
            <w:tcW w:w="3021" w:type="dxa"/>
          </w:tcPr>
          <w:p w14:paraId="10BB3601" w14:textId="77777777" w:rsidR="00C865ED" w:rsidRPr="004A2AE3" w:rsidRDefault="00C865ED" w:rsidP="00276677">
            <w:pPr>
              <w:spacing w:before="120"/>
            </w:pPr>
          </w:p>
        </w:tc>
      </w:tr>
    </w:tbl>
    <w:p w14:paraId="7CA6D0BA" w14:textId="77777777" w:rsidR="00C865ED" w:rsidRPr="001D1503" w:rsidRDefault="00C865ED" w:rsidP="00C865ED">
      <w:pPr>
        <w:pStyle w:val="ListParagraph"/>
        <w:spacing w:before="120"/>
        <w:ind w:left="960"/>
        <w:rPr>
          <w:rFonts w:ascii="Times New Roman" w:hAnsi="Times New Roman" w:cs="Times New Roman"/>
          <w:lang w:eastAsia="zh-CN"/>
        </w:rPr>
      </w:pPr>
    </w:p>
    <w:p w14:paraId="26A27CD0" w14:textId="27663724" w:rsidR="00C865ED" w:rsidRPr="00C52D15" w:rsidRDefault="00C865ED" w:rsidP="00C865ED">
      <w:pPr>
        <w:pStyle w:val="ListParagraph"/>
        <w:numPr>
          <w:ilvl w:val="0"/>
          <w:numId w:val="22"/>
        </w:numPr>
        <w:spacing w:before="120"/>
        <w:contextualSpacing w:val="0"/>
        <w:rPr>
          <w:rFonts w:ascii="Times New Roman" w:hAnsi="Times New Roman" w:cs="Times New Roman"/>
          <w:b/>
          <w:lang w:eastAsia="zh-CN"/>
        </w:rPr>
      </w:pPr>
      <w:r>
        <w:rPr>
          <w:rFonts w:ascii="Times New Roman" w:hAnsi="Times New Roman" w:cs="Times New Roman"/>
          <w:b/>
          <w:lang w:eastAsia="zh-CN"/>
        </w:rPr>
        <w:t>What is</w:t>
      </w:r>
      <w:r w:rsidRPr="00C52D15">
        <w:rPr>
          <w:rFonts w:ascii="Times New Roman" w:hAnsi="Times New Roman" w:cs="Times New Roman"/>
          <w:b/>
          <w:lang w:eastAsia="zh-CN"/>
        </w:rPr>
        <w:t xml:space="preserve"> </w:t>
      </w:r>
      <w:r>
        <w:rPr>
          <w:rFonts w:ascii="Times New Roman" w:hAnsi="Times New Roman" w:cs="Times New Roman"/>
          <w:b/>
          <w:lang w:eastAsia="zh-CN"/>
        </w:rPr>
        <w:t>the</w:t>
      </w:r>
      <w:r w:rsidRPr="00C52D15">
        <w:rPr>
          <w:rFonts w:ascii="Times New Roman" w:hAnsi="Times New Roman" w:cs="Times New Roman"/>
          <w:b/>
          <w:lang w:eastAsia="zh-CN"/>
        </w:rPr>
        <w:t xml:space="preserve"> PMSE equipment operating in 470 – 806 MHz deployed in your country?</w:t>
      </w:r>
    </w:p>
    <w:p w14:paraId="429AFA2D" w14:textId="77777777" w:rsidR="00C865ED" w:rsidRPr="00C52D15" w:rsidRDefault="00C865ED" w:rsidP="00C865ED">
      <w:pPr>
        <w:ind w:left="360"/>
        <w:rPr>
          <w:b/>
          <w:i/>
          <w:lang w:eastAsia="zh-CN"/>
        </w:rPr>
      </w:pPr>
      <w:r w:rsidRPr="00C52D15">
        <w:rPr>
          <w:b/>
          <w:i/>
          <w:lang w:eastAsia="zh-CN"/>
        </w:rPr>
        <w:t>Answer:</w:t>
      </w:r>
    </w:p>
    <w:tbl>
      <w:tblPr>
        <w:tblStyle w:val="TableGrid"/>
        <w:tblW w:w="9067" w:type="dxa"/>
        <w:tblLook w:val="04A0" w:firstRow="1" w:lastRow="0" w:firstColumn="1" w:lastColumn="0" w:noHBand="0" w:noVBand="1"/>
      </w:tblPr>
      <w:tblGrid>
        <w:gridCol w:w="3020"/>
        <w:gridCol w:w="6047"/>
      </w:tblGrid>
      <w:tr w:rsidR="00C865ED" w14:paraId="7648EBC0" w14:textId="77777777" w:rsidTr="00276677">
        <w:tc>
          <w:tcPr>
            <w:tcW w:w="3020" w:type="dxa"/>
          </w:tcPr>
          <w:p w14:paraId="4E7C562E" w14:textId="77777777" w:rsidR="00C865ED" w:rsidRDefault="00C865ED" w:rsidP="00276677">
            <w:pPr>
              <w:spacing w:before="120"/>
              <w:jc w:val="center"/>
              <w:rPr>
                <w:b/>
              </w:rPr>
            </w:pPr>
            <w:r>
              <w:rPr>
                <w:b/>
              </w:rPr>
              <w:t>Band</w:t>
            </w:r>
          </w:p>
        </w:tc>
        <w:tc>
          <w:tcPr>
            <w:tcW w:w="6047" w:type="dxa"/>
          </w:tcPr>
          <w:p w14:paraId="130307A4" w14:textId="77777777" w:rsidR="00C865ED" w:rsidRDefault="00C865ED" w:rsidP="00276677">
            <w:pPr>
              <w:spacing w:before="120"/>
              <w:jc w:val="center"/>
              <w:rPr>
                <w:b/>
              </w:rPr>
            </w:pPr>
            <w:r>
              <w:rPr>
                <w:b/>
              </w:rPr>
              <w:t>If yes, please specify the applications</w:t>
            </w:r>
          </w:p>
        </w:tc>
      </w:tr>
      <w:tr w:rsidR="00C865ED" w:rsidRPr="004A2AE3" w14:paraId="3E809B4B" w14:textId="77777777" w:rsidTr="00276677">
        <w:tc>
          <w:tcPr>
            <w:tcW w:w="3020" w:type="dxa"/>
          </w:tcPr>
          <w:p w14:paraId="66892866" w14:textId="77777777" w:rsidR="00C865ED" w:rsidRPr="004A2AE3" w:rsidRDefault="00C865ED" w:rsidP="00276677">
            <w:pPr>
              <w:spacing w:before="120"/>
            </w:pPr>
            <w:r w:rsidRPr="004A2AE3">
              <w:t>470 – 610 MHz</w:t>
            </w:r>
          </w:p>
        </w:tc>
        <w:tc>
          <w:tcPr>
            <w:tcW w:w="6047" w:type="dxa"/>
          </w:tcPr>
          <w:p w14:paraId="36DFB070" w14:textId="77777777" w:rsidR="00C865ED" w:rsidRPr="004A2AE3" w:rsidRDefault="00C865ED" w:rsidP="00276677">
            <w:pPr>
              <w:spacing w:before="120"/>
            </w:pPr>
            <w:r>
              <w:t>Example: [Wireless microphone]</w:t>
            </w:r>
          </w:p>
        </w:tc>
      </w:tr>
      <w:tr w:rsidR="00C865ED" w:rsidRPr="004A2AE3" w14:paraId="1C4F37F7" w14:textId="77777777" w:rsidTr="00276677">
        <w:tc>
          <w:tcPr>
            <w:tcW w:w="3020" w:type="dxa"/>
          </w:tcPr>
          <w:p w14:paraId="66D26795" w14:textId="77777777" w:rsidR="00C865ED" w:rsidRPr="004A2AE3" w:rsidRDefault="00C865ED" w:rsidP="00276677">
            <w:pPr>
              <w:spacing w:before="120"/>
            </w:pPr>
            <w:r>
              <w:t>610 – 698 MHz</w:t>
            </w:r>
          </w:p>
        </w:tc>
        <w:tc>
          <w:tcPr>
            <w:tcW w:w="6047" w:type="dxa"/>
          </w:tcPr>
          <w:p w14:paraId="30DCA914" w14:textId="77777777" w:rsidR="00C865ED" w:rsidRPr="004A2AE3" w:rsidRDefault="00C865ED" w:rsidP="00276677">
            <w:pPr>
              <w:spacing w:before="120"/>
            </w:pPr>
          </w:p>
        </w:tc>
      </w:tr>
      <w:tr w:rsidR="00C865ED" w:rsidRPr="004A2AE3" w14:paraId="320DD980" w14:textId="77777777" w:rsidTr="00276677">
        <w:tc>
          <w:tcPr>
            <w:tcW w:w="3020" w:type="dxa"/>
          </w:tcPr>
          <w:p w14:paraId="2622AE16" w14:textId="77777777" w:rsidR="00C865ED" w:rsidRDefault="00C865ED" w:rsidP="00276677">
            <w:pPr>
              <w:spacing w:before="120"/>
            </w:pPr>
            <w:r>
              <w:t>698 – 806 MHz</w:t>
            </w:r>
          </w:p>
        </w:tc>
        <w:tc>
          <w:tcPr>
            <w:tcW w:w="6047" w:type="dxa"/>
          </w:tcPr>
          <w:p w14:paraId="1B7D540B" w14:textId="77777777" w:rsidR="00C865ED" w:rsidRPr="004A2AE3" w:rsidRDefault="00C865ED" w:rsidP="00276677">
            <w:pPr>
              <w:spacing w:before="120"/>
            </w:pPr>
          </w:p>
        </w:tc>
      </w:tr>
    </w:tbl>
    <w:p w14:paraId="585DE37B" w14:textId="77777777" w:rsidR="00C865ED" w:rsidRPr="001D1503" w:rsidRDefault="00C865ED" w:rsidP="00C865ED">
      <w:pPr>
        <w:pStyle w:val="ListParagraph"/>
        <w:spacing w:before="120"/>
        <w:ind w:left="960"/>
        <w:rPr>
          <w:rFonts w:ascii="Times New Roman" w:hAnsi="Times New Roman" w:cs="Times New Roman"/>
          <w:lang w:eastAsia="zh-CN"/>
        </w:rPr>
      </w:pPr>
    </w:p>
    <w:p w14:paraId="24ECD9AD" w14:textId="77777777" w:rsidR="00C865ED" w:rsidRPr="00C52D15" w:rsidRDefault="00C865ED" w:rsidP="00C865ED">
      <w:pPr>
        <w:pStyle w:val="ListParagraph"/>
        <w:numPr>
          <w:ilvl w:val="0"/>
          <w:numId w:val="22"/>
        </w:numPr>
        <w:spacing w:before="120"/>
        <w:contextualSpacing w:val="0"/>
        <w:rPr>
          <w:rFonts w:ascii="Times New Roman" w:hAnsi="Times New Roman" w:cs="Times New Roman"/>
          <w:b/>
          <w:lang w:eastAsia="zh-CN"/>
        </w:rPr>
      </w:pPr>
      <w:r w:rsidRPr="00C52D15">
        <w:rPr>
          <w:rFonts w:ascii="Times New Roman" w:hAnsi="Times New Roman" w:cs="Times New Roman"/>
          <w:b/>
          <w:lang w:eastAsia="zh-CN"/>
        </w:rPr>
        <w:t>Does your country regulate PMSE equipment operating in 470 – 806 MHz now?</w:t>
      </w:r>
    </w:p>
    <w:p w14:paraId="2D677C38" w14:textId="77777777" w:rsidR="00C865ED" w:rsidRPr="00C52D15" w:rsidRDefault="00C865ED" w:rsidP="00C865ED">
      <w:pPr>
        <w:ind w:left="360"/>
        <w:rPr>
          <w:b/>
          <w:i/>
          <w:lang w:eastAsia="zh-CN"/>
        </w:rPr>
      </w:pPr>
      <w:r w:rsidRPr="00C52D15">
        <w:rPr>
          <w:b/>
          <w:i/>
          <w:lang w:eastAsia="zh-CN"/>
        </w:rPr>
        <w:t>Answer:</w:t>
      </w:r>
    </w:p>
    <w:tbl>
      <w:tblPr>
        <w:tblStyle w:val="TableGrid"/>
        <w:tblW w:w="9067" w:type="dxa"/>
        <w:tblLook w:val="04A0" w:firstRow="1" w:lastRow="0" w:firstColumn="1" w:lastColumn="0" w:noHBand="0" w:noVBand="1"/>
      </w:tblPr>
      <w:tblGrid>
        <w:gridCol w:w="3020"/>
        <w:gridCol w:w="6047"/>
      </w:tblGrid>
      <w:tr w:rsidR="00C865ED" w14:paraId="53B130F3" w14:textId="77777777" w:rsidTr="00276677">
        <w:tc>
          <w:tcPr>
            <w:tcW w:w="3020" w:type="dxa"/>
          </w:tcPr>
          <w:p w14:paraId="761536EC" w14:textId="77777777" w:rsidR="00C865ED" w:rsidRDefault="00C865ED" w:rsidP="00276677">
            <w:pPr>
              <w:spacing w:before="120"/>
              <w:jc w:val="center"/>
              <w:rPr>
                <w:b/>
              </w:rPr>
            </w:pPr>
            <w:r>
              <w:rPr>
                <w:b/>
              </w:rPr>
              <w:t>Band</w:t>
            </w:r>
          </w:p>
        </w:tc>
        <w:tc>
          <w:tcPr>
            <w:tcW w:w="6047" w:type="dxa"/>
          </w:tcPr>
          <w:p w14:paraId="26E8FFFC" w14:textId="77777777" w:rsidR="00C865ED" w:rsidRDefault="00C865ED" w:rsidP="00276677">
            <w:pPr>
              <w:spacing w:before="120"/>
              <w:jc w:val="center"/>
              <w:rPr>
                <w:b/>
              </w:rPr>
            </w:pPr>
            <w:r>
              <w:rPr>
                <w:b/>
              </w:rPr>
              <w:t>If yes, please specify the regulations and standards</w:t>
            </w:r>
          </w:p>
        </w:tc>
      </w:tr>
      <w:tr w:rsidR="00C865ED" w:rsidRPr="004A2AE3" w14:paraId="01214BC5" w14:textId="77777777" w:rsidTr="00276677">
        <w:tc>
          <w:tcPr>
            <w:tcW w:w="3020" w:type="dxa"/>
          </w:tcPr>
          <w:p w14:paraId="4FAFC247" w14:textId="77777777" w:rsidR="00C865ED" w:rsidRPr="004A2AE3" w:rsidRDefault="00C865ED" w:rsidP="00276677">
            <w:pPr>
              <w:spacing w:before="120"/>
            </w:pPr>
            <w:r w:rsidRPr="004A2AE3">
              <w:t>470 – 610 MHz</w:t>
            </w:r>
          </w:p>
        </w:tc>
        <w:tc>
          <w:tcPr>
            <w:tcW w:w="6047" w:type="dxa"/>
          </w:tcPr>
          <w:p w14:paraId="24BCFC21" w14:textId="77777777" w:rsidR="00C865ED" w:rsidRPr="004A2AE3" w:rsidRDefault="00C865ED" w:rsidP="00276677">
            <w:pPr>
              <w:spacing w:before="120"/>
            </w:pPr>
          </w:p>
        </w:tc>
      </w:tr>
      <w:tr w:rsidR="00C865ED" w:rsidRPr="004A2AE3" w14:paraId="292F2DA3" w14:textId="77777777" w:rsidTr="00276677">
        <w:tc>
          <w:tcPr>
            <w:tcW w:w="3020" w:type="dxa"/>
          </w:tcPr>
          <w:p w14:paraId="75646682" w14:textId="77777777" w:rsidR="00C865ED" w:rsidRPr="004A2AE3" w:rsidRDefault="00C865ED" w:rsidP="00276677">
            <w:pPr>
              <w:spacing w:before="120"/>
            </w:pPr>
            <w:r>
              <w:t>610 – 698 MHz</w:t>
            </w:r>
          </w:p>
        </w:tc>
        <w:tc>
          <w:tcPr>
            <w:tcW w:w="6047" w:type="dxa"/>
          </w:tcPr>
          <w:p w14:paraId="27BD6DEF" w14:textId="77777777" w:rsidR="00C865ED" w:rsidRPr="004A2AE3" w:rsidRDefault="00C865ED" w:rsidP="00276677">
            <w:pPr>
              <w:spacing w:before="120"/>
            </w:pPr>
          </w:p>
        </w:tc>
      </w:tr>
      <w:tr w:rsidR="00C865ED" w:rsidRPr="004A2AE3" w14:paraId="04704250" w14:textId="77777777" w:rsidTr="00276677">
        <w:tc>
          <w:tcPr>
            <w:tcW w:w="3020" w:type="dxa"/>
          </w:tcPr>
          <w:p w14:paraId="11F68874" w14:textId="77777777" w:rsidR="00C865ED" w:rsidRDefault="00C865ED" w:rsidP="00276677">
            <w:pPr>
              <w:spacing w:before="120"/>
            </w:pPr>
            <w:r>
              <w:t>698 – 806 MHz</w:t>
            </w:r>
          </w:p>
        </w:tc>
        <w:tc>
          <w:tcPr>
            <w:tcW w:w="6047" w:type="dxa"/>
          </w:tcPr>
          <w:p w14:paraId="39DD937F" w14:textId="77777777" w:rsidR="00C865ED" w:rsidRPr="004A2AE3" w:rsidRDefault="00C865ED" w:rsidP="00276677">
            <w:pPr>
              <w:spacing w:before="120"/>
            </w:pPr>
          </w:p>
        </w:tc>
      </w:tr>
    </w:tbl>
    <w:p w14:paraId="61AC9C00" w14:textId="77777777" w:rsidR="00C865ED" w:rsidRPr="001D1503" w:rsidRDefault="00C865ED" w:rsidP="00C865ED">
      <w:pPr>
        <w:rPr>
          <w:rFonts w:eastAsia="SimSun"/>
          <w:lang w:eastAsia="zh-CN"/>
        </w:rPr>
      </w:pPr>
    </w:p>
    <w:p w14:paraId="35E99AE5" w14:textId="77777777" w:rsidR="00C865ED" w:rsidRPr="00C52D15" w:rsidRDefault="00C865ED" w:rsidP="00C865ED">
      <w:pPr>
        <w:pStyle w:val="ListParagraph"/>
        <w:numPr>
          <w:ilvl w:val="0"/>
          <w:numId w:val="22"/>
        </w:numPr>
        <w:spacing w:before="120"/>
        <w:contextualSpacing w:val="0"/>
        <w:rPr>
          <w:rFonts w:ascii="Times New Roman" w:hAnsi="Times New Roman" w:cs="Times New Roman"/>
          <w:b/>
          <w:lang w:eastAsia="zh-CN"/>
        </w:rPr>
      </w:pPr>
      <w:r w:rsidRPr="00C52D15">
        <w:rPr>
          <w:rFonts w:ascii="Times New Roman" w:hAnsi="Times New Roman" w:cs="Times New Roman"/>
          <w:b/>
          <w:lang w:eastAsia="zh-CN"/>
        </w:rPr>
        <w:t xml:space="preserve">Which portion of the 470 – 806 MHz band is not allowed for PMSE equipment?  </w:t>
      </w:r>
    </w:p>
    <w:p w14:paraId="5DE8166F" w14:textId="77777777" w:rsidR="00C865ED" w:rsidRPr="00C52D15" w:rsidRDefault="00C865ED" w:rsidP="00C865ED">
      <w:pPr>
        <w:ind w:left="360"/>
        <w:rPr>
          <w:b/>
          <w:i/>
          <w:lang w:eastAsia="zh-CN"/>
        </w:rPr>
      </w:pPr>
      <w:r w:rsidRPr="00C52D15">
        <w:rPr>
          <w:b/>
          <w:i/>
          <w:lang w:eastAsia="zh-CN"/>
        </w:rPr>
        <w:t>Answer:</w:t>
      </w:r>
    </w:p>
    <w:p w14:paraId="5745D9C7" w14:textId="77777777" w:rsidR="00C865ED" w:rsidRPr="001D1503" w:rsidRDefault="00C865ED" w:rsidP="00C865ED">
      <w:pPr>
        <w:rPr>
          <w:lang w:eastAsia="zh-CN"/>
        </w:rPr>
      </w:pPr>
    </w:p>
    <w:p w14:paraId="2DC07AEA" w14:textId="77777777" w:rsidR="00C865ED" w:rsidRPr="00C52D15" w:rsidRDefault="00C865ED" w:rsidP="00C865ED">
      <w:pPr>
        <w:pStyle w:val="ListParagraph"/>
        <w:numPr>
          <w:ilvl w:val="0"/>
          <w:numId w:val="22"/>
        </w:numPr>
        <w:spacing w:before="120"/>
        <w:contextualSpacing w:val="0"/>
        <w:rPr>
          <w:rFonts w:ascii="Times New Roman" w:hAnsi="Times New Roman" w:cs="Times New Roman"/>
          <w:b/>
          <w:lang w:eastAsia="zh-CN"/>
        </w:rPr>
      </w:pPr>
      <w:r w:rsidRPr="00C52D15">
        <w:rPr>
          <w:rFonts w:ascii="Times New Roman" w:hAnsi="Times New Roman" w:cs="Times New Roman"/>
          <w:b/>
          <w:lang w:eastAsia="zh-CN"/>
        </w:rPr>
        <w:t>Do you think it is necessary to harmonize the frequency band / tuning range for PMSE equipment among APT countries?</w:t>
      </w:r>
    </w:p>
    <w:p w14:paraId="4C3831C2" w14:textId="77777777" w:rsidR="00C865ED" w:rsidRPr="00C52D15" w:rsidRDefault="00C865ED" w:rsidP="00C865ED">
      <w:pPr>
        <w:spacing w:before="120"/>
        <w:ind w:left="360"/>
        <w:rPr>
          <w:b/>
          <w:i/>
          <w:lang w:eastAsia="zh-CN"/>
        </w:rPr>
      </w:pPr>
      <w:r w:rsidRPr="00C52D15">
        <w:rPr>
          <w:b/>
          <w:i/>
          <w:lang w:eastAsia="zh-CN"/>
        </w:rPr>
        <w:t xml:space="preserve">Answer: </w:t>
      </w:r>
    </w:p>
    <w:p w14:paraId="22D9B5A5" w14:textId="77777777" w:rsidR="00C865ED" w:rsidRPr="001D1503" w:rsidRDefault="00C865ED" w:rsidP="00C865ED">
      <w:pPr>
        <w:spacing w:before="120"/>
        <w:ind w:left="360" w:firstLine="360"/>
        <w:rPr>
          <w:rFonts w:eastAsia="Times New Roman"/>
          <w:color w:val="000000"/>
          <w:sz w:val="21"/>
          <w:szCs w:val="21"/>
        </w:rPr>
      </w:pPr>
      <w:r w:rsidRPr="004A2AE3">
        <w:rPr>
          <w:rFonts w:eastAsia="Times New Roman"/>
          <w:color w:val="000000"/>
          <w:szCs w:val="21"/>
        </w:rPr>
        <w:t xml:space="preserve">Agree / Neutral / Do not agree </w:t>
      </w:r>
      <w:r>
        <w:rPr>
          <w:lang w:eastAsia="zh-CN"/>
        </w:rPr>
        <w:t>(Please select</w:t>
      </w:r>
      <w:r>
        <w:rPr>
          <w:rFonts w:eastAsia="Times New Roman"/>
          <w:color w:val="000000"/>
          <w:sz w:val="21"/>
          <w:szCs w:val="21"/>
        </w:rPr>
        <w:t>)</w:t>
      </w:r>
      <w:r w:rsidRPr="001D1503">
        <w:rPr>
          <w:rFonts w:eastAsia="Times New Roman"/>
          <w:color w:val="000000"/>
          <w:sz w:val="21"/>
          <w:szCs w:val="21"/>
        </w:rPr>
        <w:t>.</w:t>
      </w:r>
    </w:p>
    <w:p w14:paraId="151A5070" w14:textId="77777777" w:rsidR="00C865ED" w:rsidRPr="001D1503" w:rsidRDefault="00C865ED" w:rsidP="00C865ED">
      <w:pPr>
        <w:pStyle w:val="ListParagraph"/>
        <w:spacing w:before="120"/>
        <w:ind w:left="960"/>
        <w:rPr>
          <w:rFonts w:ascii="Times New Roman" w:hAnsi="Times New Roman" w:cs="Times New Roman"/>
          <w:lang w:eastAsia="zh-CN"/>
        </w:rPr>
      </w:pPr>
    </w:p>
    <w:p w14:paraId="13A31169" w14:textId="77777777" w:rsidR="00651D4F" w:rsidRPr="00C865ED" w:rsidRDefault="00651D4F" w:rsidP="00651D4F">
      <w:pPr>
        <w:ind w:left="360"/>
        <w:rPr>
          <w:rFonts w:eastAsia="MS Mincho"/>
          <w:lang w:eastAsia="ja-JP"/>
        </w:rPr>
      </w:pPr>
    </w:p>
    <w:p w14:paraId="0157D55B" w14:textId="65296441" w:rsidR="002C7630" w:rsidRPr="002C7630" w:rsidRDefault="00B45EF2" w:rsidP="002C7630">
      <w:pPr>
        <w:jc w:val="center"/>
        <w:rPr>
          <w:lang w:val="en-AU"/>
        </w:rPr>
      </w:pPr>
      <w:r w:rsidRPr="004A2DAA">
        <w:rPr>
          <w:lang w:val="en-AU"/>
        </w:rPr>
        <w:t>_______________</w:t>
      </w:r>
    </w:p>
    <w:sectPr w:rsidR="002C7630" w:rsidRPr="002C7630" w:rsidSect="00B11BAC">
      <w:headerReference w:type="default" r:id="rId9"/>
      <w:footerReference w:type="even" r:id="rId10"/>
      <w:footerReference w:type="default" r:id="rId11"/>
      <w:pgSz w:w="11909" w:h="16834" w:code="9"/>
      <w:pgMar w:top="1195" w:right="1152" w:bottom="11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1901" w14:textId="77777777" w:rsidR="00BA1B82" w:rsidRDefault="00BA1B82">
      <w:r>
        <w:separator/>
      </w:r>
    </w:p>
  </w:endnote>
  <w:endnote w:type="continuationSeparator" w:id="0">
    <w:p w14:paraId="17E43C6B" w14:textId="77777777" w:rsidR="00BA1B82" w:rsidRDefault="00BA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바탕체"/>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5D4E"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25E1D"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783F" w14:textId="47DD3110" w:rsidR="0097693B" w:rsidRDefault="003771CA" w:rsidP="003771CA">
    <w:pPr>
      <w:pStyle w:val="Footer"/>
      <w:ind w:right="360"/>
      <w:rPr>
        <w:rStyle w:val="PageNumber"/>
      </w:rPr>
    </w:pPr>
    <w:r>
      <w:rPr>
        <w:rStyle w:val="PageNumber"/>
      </w:rPr>
      <w:tab/>
    </w:r>
    <w:r>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3961EF">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3961EF">
      <w:rPr>
        <w:rStyle w:val="PageNumber"/>
        <w:noProof/>
      </w:rPr>
      <w:t>3</w:t>
    </w:r>
    <w:r w:rsidR="002C7EA9" w:rsidRPr="002C7EA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F3B3" w14:textId="77777777" w:rsidR="00BA1B82" w:rsidRDefault="00BA1B82">
      <w:r>
        <w:separator/>
      </w:r>
    </w:p>
  </w:footnote>
  <w:footnote w:type="continuationSeparator" w:id="0">
    <w:p w14:paraId="37F8BFB9" w14:textId="77777777" w:rsidR="00BA1B82" w:rsidRDefault="00BA1B82">
      <w:r>
        <w:continuationSeparator/>
      </w:r>
    </w:p>
  </w:footnote>
  <w:footnote w:id="1">
    <w:p w14:paraId="618BF8F6" w14:textId="2130BCAC" w:rsidR="00C865ED" w:rsidRPr="00C865ED" w:rsidRDefault="00C865ED">
      <w:pPr>
        <w:pStyle w:val="FootnoteText"/>
        <w:rPr>
          <w:rFonts w:eastAsiaTheme="minorEastAsia"/>
          <w:lang w:eastAsia="zh-CN"/>
        </w:rPr>
      </w:pPr>
      <w:r>
        <w:rPr>
          <w:rStyle w:val="FootnoteReference"/>
        </w:rPr>
        <w:footnoteRef/>
      </w:r>
      <w:r>
        <w:t xml:space="preserve"> </w:t>
      </w:r>
      <w:r w:rsidRPr="00937621">
        <w:rPr>
          <w:rFonts w:ascii="Times New Roman" w:hAnsi="Times New Roman"/>
          <w:sz w:val="20"/>
          <w:szCs w:val="20"/>
          <w:lang w:val="en-GB"/>
        </w:rPr>
        <w:t xml:space="preserve">Programme Making and </w:t>
      </w:r>
      <w:r>
        <w:rPr>
          <w:rFonts w:ascii="Times New Roman" w:hAnsi="Times New Roman"/>
          <w:sz w:val="20"/>
          <w:szCs w:val="20"/>
          <w:lang w:val="en-GB"/>
        </w:rPr>
        <w:t>Special Events (PMSE) equipment</w:t>
      </w:r>
      <w:r w:rsidRPr="00937621">
        <w:rPr>
          <w:rFonts w:ascii="Times New Roman" w:hAnsi="Times New Roman"/>
          <w:sz w:val="20"/>
          <w:szCs w:val="20"/>
          <w:lang w:val="en-GB"/>
        </w:rPr>
        <w:t xml:space="preserve"> is meant for use in applications identified in various publications as</w:t>
      </w:r>
      <w:r w:rsidRPr="00937621">
        <w:rPr>
          <w:rFonts w:ascii="Times New Roman" w:hAnsi="Times New Roman"/>
          <w:sz w:val="20"/>
          <w:szCs w:val="20"/>
        </w:rPr>
        <w:t xml:space="preserve"> </w:t>
      </w:r>
      <w:r w:rsidRPr="00937621">
        <w:rPr>
          <w:rFonts w:ascii="Times New Roman" w:hAnsi="Times New Roman"/>
          <w:sz w:val="20"/>
          <w:szCs w:val="20"/>
          <w:lang w:val="en-GB"/>
        </w:rPr>
        <w:t>Services Ancillary to Programme making (SAP), Services Ancillary to Broadcasting (SAB), Electronic News Gathering (ENG)</w:t>
      </w:r>
      <w:r w:rsidRPr="00937621">
        <w:rPr>
          <w:rFonts w:ascii="Times New Roman" w:hAnsi="Times New Roman"/>
          <w:sz w:val="20"/>
          <w:szCs w:val="20"/>
        </w:rPr>
        <w:t xml:space="preserve"> </w:t>
      </w:r>
      <w:r w:rsidRPr="00937621">
        <w:rPr>
          <w:rFonts w:ascii="Times New Roman" w:hAnsi="Times New Roman"/>
          <w:sz w:val="20"/>
          <w:szCs w:val="20"/>
          <w:lang w:val="en-GB"/>
        </w:rPr>
        <w:t>/</w:t>
      </w:r>
      <w:r w:rsidRPr="00937621">
        <w:rPr>
          <w:rFonts w:ascii="Times New Roman" w:hAnsi="Times New Roman"/>
          <w:sz w:val="20"/>
          <w:szCs w:val="20"/>
        </w:rPr>
        <w:t xml:space="preserve"> </w:t>
      </w:r>
      <w:r w:rsidRPr="00937621">
        <w:rPr>
          <w:rFonts w:ascii="Times New Roman" w:hAnsi="Times New Roman"/>
          <w:sz w:val="20"/>
          <w:szCs w:val="20"/>
          <w:lang w:val="en-GB"/>
        </w:rPr>
        <w:t>Outside Broadcasting (OB), Broadcast Auxiliary Systems (BAS)</w:t>
      </w:r>
      <w:r w:rsidRPr="00937621">
        <w:rPr>
          <w:rFonts w:ascii="Times New Roman" w:hAnsi="Times New Roman"/>
          <w:sz w:val="20"/>
          <w:szCs w:val="20"/>
        </w:rPr>
        <w:t xml:space="preserve"> </w:t>
      </w:r>
      <w:r w:rsidRPr="00937621">
        <w:rPr>
          <w:rFonts w:ascii="Times New Roman" w:hAnsi="Times New Roman"/>
          <w:sz w:val="20"/>
          <w:szCs w:val="20"/>
          <w:lang w:val="en-GB"/>
        </w:rPr>
        <w:t>and applications used in meetings, conferences, cultural and education activities, trade fairs, local entertainment, sport, religious and other public or private events</w:t>
      </w:r>
      <w:r w:rsidRPr="00937621">
        <w:rPr>
          <w:rFonts w:ascii="Times New Roman" w:hAnsi="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B486" w14:textId="77777777" w:rsidR="0097693B" w:rsidRDefault="0097693B" w:rsidP="00C15633">
    <w:pPr>
      <w:pStyle w:val="Header"/>
      <w:tabs>
        <w:tab w:val="center" w:pos="4763"/>
        <w:tab w:val="left" w:pos="5820"/>
      </w:tabs>
      <w:rPr>
        <w:lang w:eastAsia="ko-KR"/>
      </w:rPr>
    </w:pPr>
    <w:r>
      <w:rPr>
        <w:lang w:eastAsia="ko-KR"/>
      </w:rPr>
      <w:tab/>
    </w:r>
  </w:p>
  <w:p w14:paraId="49564003"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41C"/>
    <w:multiLevelType w:val="hybridMultilevel"/>
    <w:tmpl w:val="7174DB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25A391C"/>
    <w:multiLevelType w:val="hybridMultilevel"/>
    <w:tmpl w:val="3D7046B0"/>
    <w:lvl w:ilvl="0" w:tplc="5B568C2C">
      <w:numFmt w:val="bullet"/>
      <w:lvlText w:val="-"/>
      <w:lvlJc w:val="left"/>
      <w:pPr>
        <w:ind w:left="780" w:hanging="420"/>
      </w:pPr>
      <w:rPr>
        <w:rFonts w:ascii="Times New Roman" w:eastAsia="BatangChe"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5B568C2C">
      <w:numFmt w:val="bullet"/>
      <w:lvlText w:val="-"/>
      <w:lvlJc w:val="left"/>
      <w:pPr>
        <w:ind w:left="2040" w:hanging="420"/>
      </w:pPr>
      <w:rPr>
        <w:rFonts w:ascii="Times New Roman" w:eastAsia="BatangChe" w:hAnsi="Times New Roman" w:cs="Times New Roman"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D7554D9"/>
    <w:multiLevelType w:val="hybridMultilevel"/>
    <w:tmpl w:val="E6CE1902"/>
    <w:lvl w:ilvl="0" w:tplc="E3584DD8">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5134BF9"/>
    <w:multiLevelType w:val="hybridMultilevel"/>
    <w:tmpl w:val="911ED2CC"/>
    <w:lvl w:ilvl="0" w:tplc="A784DC84">
      <w:start w:val="6"/>
      <w:numFmt w:val="decimal"/>
      <w:lvlText w:val="%1."/>
      <w:lvlJc w:val="left"/>
      <w:pPr>
        <w:tabs>
          <w:tab w:val="num" w:pos="360"/>
        </w:tabs>
        <w:ind w:left="360" w:hanging="360"/>
      </w:pPr>
      <w:rPr>
        <w:rFonts w:eastAsia="BatangChe"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10835"/>
    <w:multiLevelType w:val="hybridMultilevel"/>
    <w:tmpl w:val="1040B9DA"/>
    <w:lvl w:ilvl="0" w:tplc="2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3" w15:restartNumberingAfterBreak="0">
    <w:nsid w:val="4A6835AA"/>
    <w:multiLevelType w:val="hybridMultilevel"/>
    <w:tmpl w:val="D58AC924"/>
    <w:lvl w:ilvl="0" w:tplc="2A2425DA">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55C6AD2"/>
    <w:multiLevelType w:val="hybridMultilevel"/>
    <w:tmpl w:val="6B74D092"/>
    <w:lvl w:ilvl="0" w:tplc="5B568C2C">
      <w:numFmt w:val="bullet"/>
      <w:lvlText w:val="-"/>
      <w:lvlJc w:val="left"/>
      <w:pPr>
        <w:ind w:left="900" w:hanging="420"/>
      </w:pPr>
      <w:rPr>
        <w:rFonts w:ascii="Times New Roman" w:eastAsia="BatangChe" w:hAnsi="Times New Roman"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56177DB8"/>
    <w:multiLevelType w:val="hybridMultilevel"/>
    <w:tmpl w:val="690A1AA0"/>
    <w:lvl w:ilvl="0" w:tplc="CDC6CF58">
      <w:start w:val="1"/>
      <w:numFmt w:val="decimal"/>
      <w:lvlText w:val="%1."/>
      <w:lvlJc w:val="left"/>
      <w:pPr>
        <w:tabs>
          <w:tab w:val="num" w:pos="360"/>
        </w:tabs>
        <w:ind w:left="360" w:hanging="360"/>
      </w:pPr>
      <w:rPr>
        <w:rFonts w:eastAsia="BatangChe" w:hint="default"/>
      </w:rPr>
    </w:lvl>
    <w:lvl w:ilvl="1" w:tplc="E3584DD8">
      <w:start w:val="1"/>
      <w:numFmt w:val="lowerRoman"/>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650C49"/>
    <w:multiLevelType w:val="hybridMultilevel"/>
    <w:tmpl w:val="AD3087D0"/>
    <w:lvl w:ilvl="0" w:tplc="CBDC44F4">
      <w:start w:val="5"/>
      <w:numFmt w:val="decimal"/>
      <w:lvlText w:val="%1."/>
      <w:lvlJc w:val="left"/>
      <w:pPr>
        <w:ind w:left="360" w:hanging="360"/>
      </w:pPr>
      <w:rPr>
        <w:rFonts w:hint="default"/>
      </w:rPr>
    </w:lvl>
    <w:lvl w:ilvl="1" w:tplc="10000019">
      <w:start w:val="1"/>
      <w:numFmt w:val="lowerLetter"/>
      <w:lvlText w:val="%2."/>
      <w:lvlJc w:val="left"/>
      <w:pPr>
        <w:ind w:left="1080" w:hanging="360"/>
      </w:pPr>
    </w:lvl>
    <w:lvl w:ilvl="2" w:tplc="1000001B">
      <w:start w:val="1"/>
      <w:numFmt w:val="lowerRoman"/>
      <w:lvlText w:val="%3."/>
      <w:lvlJc w:val="right"/>
      <w:pPr>
        <w:ind w:left="1800" w:hanging="180"/>
      </w:pPr>
    </w:lvl>
    <w:lvl w:ilvl="3" w:tplc="CC78C6B2">
      <w:numFmt w:val="bullet"/>
      <w:lvlText w:val="-"/>
      <w:lvlJc w:val="left"/>
      <w:pPr>
        <w:ind w:left="2520" w:hanging="360"/>
      </w:pPr>
      <w:rPr>
        <w:rFonts w:ascii="Times New Roman" w:eastAsia="MS Mincho" w:hAnsi="Times New Roman" w:cs="Times New Roman" w:hint="default"/>
      </w:r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7" w15:restartNumberingAfterBreak="0">
    <w:nsid w:val="639A5919"/>
    <w:multiLevelType w:val="hybridMultilevel"/>
    <w:tmpl w:val="AFFA90C6"/>
    <w:lvl w:ilvl="0" w:tplc="25523252">
      <w:start w:val="1"/>
      <w:numFmt w:val="decimal"/>
      <w:lvlText w:val="%1."/>
      <w:lvlJc w:val="left"/>
      <w:pPr>
        <w:ind w:left="360" w:hanging="360"/>
      </w:pPr>
      <w:rPr>
        <w:rFonts w:eastAsiaTheme="minorEastAsia"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69F0682"/>
    <w:multiLevelType w:val="hybridMultilevel"/>
    <w:tmpl w:val="834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2064E"/>
    <w:multiLevelType w:val="hybridMultilevel"/>
    <w:tmpl w:val="166ECB82"/>
    <w:lvl w:ilvl="0" w:tplc="2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16cid:durableId="1606304717">
    <w:abstractNumId w:val="9"/>
  </w:num>
  <w:num w:numId="2" w16cid:durableId="1648587370">
    <w:abstractNumId w:val="6"/>
  </w:num>
  <w:num w:numId="3" w16cid:durableId="950281563">
    <w:abstractNumId w:val="5"/>
  </w:num>
  <w:num w:numId="4" w16cid:durableId="1070082216">
    <w:abstractNumId w:val="19"/>
  </w:num>
  <w:num w:numId="5" w16cid:durableId="1836651695">
    <w:abstractNumId w:val="7"/>
  </w:num>
  <w:num w:numId="6" w16cid:durableId="1199508257">
    <w:abstractNumId w:val="10"/>
  </w:num>
  <w:num w:numId="7" w16cid:durableId="966738269">
    <w:abstractNumId w:val="4"/>
  </w:num>
  <w:num w:numId="8" w16cid:durableId="1977371176">
    <w:abstractNumId w:val="1"/>
  </w:num>
  <w:num w:numId="9" w16cid:durableId="1939676500">
    <w:abstractNumId w:val="11"/>
  </w:num>
  <w:num w:numId="10" w16cid:durableId="1876841766">
    <w:abstractNumId w:val="15"/>
  </w:num>
  <w:num w:numId="11" w16cid:durableId="502281573">
    <w:abstractNumId w:val="3"/>
  </w:num>
  <w:num w:numId="12" w16cid:durableId="1457260832">
    <w:abstractNumId w:val="17"/>
  </w:num>
  <w:num w:numId="13" w16cid:durableId="1821186406">
    <w:abstractNumId w:val="0"/>
  </w:num>
  <w:num w:numId="14" w16cid:durableId="356391347">
    <w:abstractNumId w:val="12"/>
  </w:num>
  <w:num w:numId="15" w16cid:durableId="458496238">
    <w:abstractNumId w:val="13"/>
  </w:num>
  <w:num w:numId="16" w16cid:durableId="1433625486">
    <w:abstractNumId w:val="16"/>
  </w:num>
  <w:num w:numId="17" w16cid:durableId="1386880267">
    <w:abstractNumId w:val="8"/>
  </w:num>
  <w:num w:numId="18" w16cid:durableId="1820731729">
    <w:abstractNumId w:val="21"/>
  </w:num>
  <w:num w:numId="19" w16cid:durableId="2000453465">
    <w:abstractNumId w:val="14"/>
  </w:num>
  <w:num w:numId="20" w16cid:durableId="702823537">
    <w:abstractNumId w:val="2"/>
  </w:num>
  <w:num w:numId="21" w16cid:durableId="57213001">
    <w:abstractNumId w:val="18"/>
  </w:num>
  <w:num w:numId="22" w16cid:durableId="749092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NjUxMDO1sDA0NDVW0lEKTi0uzszPAykwrAUAfkeugCwAAAA="/>
  </w:docVars>
  <w:rsids>
    <w:rsidRoot w:val="001C2CEE"/>
    <w:rsid w:val="000011E8"/>
    <w:rsid w:val="00001BA3"/>
    <w:rsid w:val="00006AAD"/>
    <w:rsid w:val="00007FEA"/>
    <w:rsid w:val="00021D0C"/>
    <w:rsid w:val="00032A21"/>
    <w:rsid w:val="000357F1"/>
    <w:rsid w:val="0003595B"/>
    <w:rsid w:val="000541DD"/>
    <w:rsid w:val="0005673B"/>
    <w:rsid w:val="00062481"/>
    <w:rsid w:val="00072FEF"/>
    <w:rsid w:val="000824C2"/>
    <w:rsid w:val="000825A2"/>
    <w:rsid w:val="0008312A"/>
    <w:rsid w:val="00083E35"/>
    <w:rsid w:val="00094EAF"/>
    <w:rsid w:val="000A3AA2"/>
    <w:rsid w:val="000A4256"/>
    <w:rsid w:val="000A6769"/>
    <w:rsid w:val="000B1CCE"/>
    <w:rsid w:val="000B329D"/>
    <w:rsid w:val="000C29FF"/>
    <w:rsid w:val="000D2916"/>
    <w:rsid w:val="000D36A1"/>
    <w:rsid w:val="000E55A6"/>
    <w:rsid w:val="000E6898"/>
    <w:rsid w:val="000F5540"/>
    <w:rsid w:val="00123967"/>
    <w:rsid w:val="00125706"/>
    <w:rsid w:val="00136D29"/>
    <w:rsid w:val="00151AA3"/>
    <w:rsid w:val="00151F47"/>
    <w:rsid w:val="001542EF"/>
    <w:rsid w:val="00154BD4"/>
    <w:rsid w:val="00157023"/>
    <w:rsid w:val="00173A28"/>
    <w:rsid w:val="0018079A"/>
    <w:rsid w:val="00183F53"/>
    <w:rsid w:val="00187BA5"/>
    <w:rsid w:val="00196568"/>
    <w:rsid w:val="001A2677"/>
    <w:rsid w:val="001A7E41"/>
    <w:rsid w:val="001B0FA9"/>
    <w:rsid w:val="001B143B"/>
    <w:rsid w:val="001B18C2"/>
    <w:rsid w:val="001C136D"/>
    <w:rsid w:val="001C2CEE"/>
    <w:rsid w:val="001C3A7F"/>
    <w:rsid w:val="001C43FC"/>
    <w:rsid w:val="001C6E9F"/>
    <w:rsid w:val="001D3D0F"/>
    <w:rsid w:val="001D5D7E"/>
    <w:rsid w:val="001E6DE0"/>
    <w:rsid w:val="001F5674"/>
    <w:rsid w:val="00202DD7"/>
    <w:rsid w:val="00211F03"/>
    <w:rsid w:val="00215319"/>
    <w:rsid w:val="00225119"/>
    <w:rsid w:val="00227B8D"/>
    <w:rsid w:val="00232F84"/>
    <w:rsid w:val="002349F9"/>
    <w:rsid w:val="002379E4"/>
    <w:rsid w:val="002458F8"/>
    <w:rsid w:val="00250623"/>
    <w:rsid w:val="0025238A"/>
    <w:rsid w:val="00252B6E"/>
    <w:rsid w:val="00254A1B"/>
    <w:rsid w:val="00262EAB"/>
    <w:rsid w:val="00266C49"/>
    <w:rsid w:val="002701E4"/>
    <w:rsid w:val="00281BCB"/>
    <w:rsid w:val="0028454D"/>
    <w:rsid w:val="00284DF4"/>
    <w:rsid w:val="002926D4"/>
    <w:rsid w:val="002A4520"/>
    <w:rsid w:val="002A4D07"/>
    <w:rsid w:val="002B0E94"/>
    <w:rsid w:val="002B16D9"/>
    <w:rsid w:val="002B2757"/>
    <w:rsid w:val="002C07DA"/>
    <w:rsid w:val="002C5F5E"/>
    <w:rsid w:val="002C7630"/>
    <w:rsid w:val="002C7EA9"/>
    <w:rsid w:val="002E6866"/>
    <w:rsid w:val="002F2C66"/>
    <w:rsid w:val="003129E1"/>
    <w:rsid w:val="00315E04"/>
    <w:rsid w:val="00321510"/>
    <w:rsid w:val="00321A3F"/>
    <w:rsid w:val="003221B6"/>
    <w:rsid w:val="00332259"/>
    <w:rsid w:val="003338E7"/>
    <w:rsid w:val="00342712"/>
    <w:rsid w:val="003578AB"/>
    <w:rsid w:val="0036302C"/>
    <w:rsid w:val="00370116"/>
    <w:rsid w:val="003713EE"/>
    <w:rsid w:val="003763C6"/>
    <w:rsid w:val="003771CA"/>
    <w:rsid w:val="003777C8"/>
    <w:rsid w:val="00391142"/>
    <w:rsid w:val="0039368C"/>
    <w:rsid w:val="0039569A"/>
    <w:rsid w:val="003961EF"/>
    <w:rsid w:val="003A2265"/>
    <w:rsid w:val="003A232C"/>
    <w:rsid w:val="003A6EF8"/>
    <w:rsid w:val="003B49BF"/>
    <w:rsid w:val="003B6263"/>
    <w:rsid w:val="003B6E54"/>
    <w:rsid w:val="003C24D7"/>
    <w:rsid w:val="003C412D"/>
    <w:rsid w:val="003C64A7"/>
    <w:rsid w:val="003D3FDA"/>
    <w:rsid w:val="003D4768"/>
    <w:rsid w:val="003F2317"/>
    <w:rsid w:val="003F452E"/>
    <w:rsid w:val="004079E8"/>
    <w:rsid w:val="0041122A"/>
    <w:rsid w:val="00412721"/>
    <w:rsid w:val="00420822"/>
    <w:rsid w:val="004208AE"/>
    <w:rsid w:val="004237D6"/>
    <w:rsid w:val="004249BE"/>
    <w:rsid w:val="00431654"/>
    <w:rsid w:val="004339A9"/>
    <w:rsid w:val="00435E89"/>
    <w:rsid w:val="00440447"/>
    <w:rsid w:val="00440DE8"/>
    <w:rsid w:val="00443449"/>
    <w:rsid w:val="00444E7B"/>
    <w:rsid w:val="00445346"/>
    <w:rsid w:val="00453492"/>
    <w:rsid w:val="0045458F"/>
    <w:rsid w:val="00456509"/>
    <w:rsid w:val="004628D3"/>
    <w:rsid w:val="00486F61"/>
    <w:rsid w:val="004877E1"/>
    <w:rsid w:val="004A12CC"/>
    <w:rsid w:val="004C0B9C"/>
    <w:rsid w:val="004C5CD8"/>
    <w:rsid w:val="004E59E0"/>
    <w:rsid w:val="004E7CA6"/>
    <w:rsid w:val="004F050A"/>
    <w:rsid w:val="004F1767"/>
    <w:rsid w:val="004F403A"/>
    <w:rsid w:val="004F597F"/>
    <w:rsid w:val="004F6A2B"/>
    <w:rsid w:val="004F6EA3"/>
    <w:rsid w:val="00514226"/>
    <w:rsid w:val="005171B4"/>
    <w:rsid w:val="00530E8C"/>
    <w:rsid w:val="0054413C"/>
    <w:rsid w:val="00545B89"/>
    <w:rsid w:val="00545CF7"/>
    <w:rsid w:val="00547ED3"/>
    <w:rsid w:val="0055146D"/>
    <w:rsid w:val="00551B76"/>
    <w:rsid w:val="00567F07"/>
    <w:rsid w:val="00573D24"/>
    <w:rsid w:val="005866CA"/>
    <w:rsid w:val="00587875"/>
    <w:rsid w:val="0059072D"/>
    <w:rsid w:val="00595159"/>
    <w:rsid w:val="00595701"/>
    <w:rsid w:val="005A33DF"/>
    <w:rsid w:val="005B332B"/>
    <w:rsid w:val="005B6AA3"/>
    <w:rsid w:val="005C3F03"/>
    <w:rsid w:val="005C69A1"/>
    <w:rsid w:val="005C7E76"/>
    <w:rsid w:val="005F4D98"/>
    <w:rsid w:val="005F58D0"/>
    <w:rsid w:val="00603968"/>
    <w:rsid w:val="00603C1D"/>
    <w:rsid w:val="0060607C"/>
    <w:rsid w:val="00607C2E"/>
    <w:rsid w:val="00607E2B"/>
    <w:rsid w:val="00614171"/>
    <w:rsid w:val="00624119"/>
    <w:rsid w:val="00627E64"/>
    <w:rsid w:val="00630040"/>
    <w:rsid w:val="0063062B"/>
    <w:rsid w:val="00632EA2"/>
    <w:rsid w:val="0063679A"/>
    <w:rsid w:val="00636AEC"/>
    <w:rsid w:val="00644810"/>
    <w:rsid w:val="006505CE"/>
    <w:rsid w:val="00650D69"/>
    <w:rsid w:val="006516F5"/>
    <w:rsid w:val="00651D4F"/>
    <w:rsid w:val="006560DB"/>
    <w:rsid w:val="00656560"/>
    <w:rsid w:val="0066346D"/>
    <w:rsid w:val="00665C74"/>
    <w:rsid w:val="00667229"/>
    <w:rsid w:val="00667401"/>
    <w:rsid w:val="0067040A"/>
    <w:rsid w:val="0068071A"/>
    <w:rsid w:val="00680BAF"/>
    <w:rsid w:val="00682BE5"/>
    <w:rsid w:val="00697224"/>
    <w:rsid w:val="006A03C0"/>
    <w:rsid w:val="006A23CA"/>
    <w:rsid w:val="006A6985"/>
    <w:rsid w:val="006B0180"/>
    <w:rsid w:val="006B0DA2"/>
    <w:rsid w:val="006B6391"/>
    <w:rsid w:val="006B7A10"/>
    <w:rsid w:val="006C70D2"/>
    <w:rsid w:val="006C7574"/>
    <w:rsid w:val="006D1F75"/>
    <w:rsid w:val="006D2353"/>
    <w:rsid w:val="006F0E2B"/>
    <w:rsid w:val="006F37DA"/>
    <w:rsid w:val="00703C56"/>
    <w:rsid w:val="00706824"/>
    <w:rsid w:val="007109AC"/>
    <w:rsid w:val="00724269"/>
    <w:rsid w:val="00724424"/>
    <w:rsid w:val="007254B1"/>
    <w:rsid w:val="00734ED4"/>
    <w:rsid w:val="00735B7E"/>
    <w:rsid w:val="00736BF2"/>
    <w:rsid w:val="007376BC"/>
    <w:rsid w:val="0074190C"/>
    <w:rsid w:val="00752844"/>
    <w:rsid w:val="00760D94"/>
    <w:rsid w:val="00762576"/>
    <w:rsid w:val="007731E8"/>
    <w:rsid w:val="007A2FB0"/>
    <w:rsid w:val="007B176F"/>
    <w:rsid w:val="007B5201"/>
    <w:rsid w:val="007C19A9"/>
    <w:rsid w:val="007C7AF7"/>
    <w:rsid w:val="007D05CB"/>
    <w:rsid w:val="007E11BC"/>
    <w:rsid w:val="007E6C90"/>
    <w:rsid w:val="007F389B"/>
    <w:rsid w:val="007F7523"/>
    <w:rsid w:val="007F7740"/>
    <w:rsid w:val="00803B69"/>
    <w:rsid w:val="0080570B"/>
    <w:rsid w:val="0081233A"/>
    <w:rsid w:val="008148E1"/>
    <w:rsid w:val="00815EDB"/>
    <w:rsid w:val="00837982"/>
    <w:rsid w:val="008475C3"/>
    <w:rsid w:val="00853E21"/>
    <w:rsid w:val="00855C0A"/>
    <w:rsid w:val="00855F3F"/>
    <w:rsid w:val="00864D51"/>
    <w:rsid w:val="00865017"/>
    <w:rsid w:val="0088109B"/>
    <w:rsid w:val="008819A7"/>
    <w:rsid w:val="00890618"/>
    <w:rsid w:val="008921CD"/>
    <w:rsid w:val="00893945"/>
    <w:rsid w:val="00895888"/>
    <w:rsid w:val="008A300A"/>
    <w:rsid w:val="008A47EA"/>
    <w:rsid w:val="008B2916"/>
    <w:rsid w:val="008B5057"/>
    <w:rsid w:val="008B6208"/>
    <w:rsid w:val="008C376C"/>
    <w:rsid w:val="008D0E09"/>
    <w:rsid w:val="008D1B62"/>
    <w:rsid w:val="008D2331"/>
    <w:rsid w:val="008D3EC2"/>
    <w:rsid w:val="008D788C"/>
    <w:rsid w:val="008E14C2"/>
    <w:rsid w:val="0090603F"/>
    <w:rsid w:val="00906EB0"/>
    <w:rsid w:val="00914417"/>
    <w:rsid w:val="00922A59"/>
    <w:rsid w:val="00930342"/>
    <w:rsid w:val="00934515"/>
    <w:rsid w:val="00944CF3"/>
    <w:rsid w:val="00945B40"/>
    <w:rsid w:val="009531FC"/>
    <w:rsid w:val="00953ACC"/>
    <w:rsid w:val="009612D9"/>
    <w:rsid w:val="00961CF0"/>
    <w:rsid w:val="00965579"/>
    <w:rsid w:val="00973F09"/>
    <w:rsid w:val="00976554"/>
    <w:rsid w:val="0097693B"/>
    <w:rsid w:val="00983213"/>
    <w:rsid w:val="009933E9"/>
    <w:rsid w:val="009A4A6D"/>
    <w:rsid w:val="009C26F1"/>
    <w:rsid w:val="009C3A88"/>
    <w:rsid w:val="009D3120"/>
    <w:rsid w:val="009E7559"/>
    <w:rsid w:val="00A115FE"/>
    <w:rsid w:val="00A1441C"/>
    <w:rsid w:val="00A171B4"/>
    <w:rsid w:val="00A17D15"/>
    <w:rsid w:val="00A2334A"/>
    <w:rsid w:val="00A331AD"/>
    <w:rsid w:val="00A438A8"/>
    <w:rsid w:val="00A44BFA"/>
    <w:rsid w:val="00A53045"/>
    <w:rsid w:val="00A548EF"/>
    <w:rsid w:val="00A54D35"/>
    <w:rsid w:val="00A5753F"/>
    <w:rsid w:val="00A649B2"/>
    <w:rsid w:val="00A65AD9"/>
    <w:rsid w:val="00A66C43"/>
    <w:rsid w:val="00A703AE"/>
    <w:rsid w:val="00A821A9"/>
    <w:rsid w:val="00A865D4"/>
    <w:rsid w:val="00A948CF"/>
    <w:rsid w:val="00A962B2"/>
    <w:rsid w:val="00AA41DB"/>
    <w:rsid w:val="00AA474C"/>
    <w:rsid w:val="00AB032C"/>
    <w:rsid w:val="00AB4498"/>
    <w:rsid w:val="00AC10DC"/>
    <w:rsid w:val="00AC52C6"/>
    <w:rsid w:val="00AD7E5F"/>
    <w:rsid w:val="00AE0324"/>
    <w:rsid w:val="00AE44BF"/>
    <w:rsid w:val="00B031B5"/>
    <w:rsid w:val="00B11BAC"/>
    <w:rsid w:val="00B1201C"/>
    <w:rsid w:val="00B13457"/>
    <w:rsid w:val="00B232C3"/>
    <w:rsid w:val="00B23C48"/>
    <w:rsid w:val="00B25D6A"/>
    <w:rsid w:val="00B30C81"/>
    <w:rsid w:val="00B33DB9"/>
    <w:rsid w:val="00B36622"/>
    <w:rsid w:val="00B45EF2"/>
    <w:rsid w:val="00B54DF6"/>
    <w:rsid w:val="00B776A8"/>
    <w:rsid w:val="00B94CD2"/>
    <w:rsid w:val="00BA1B82"/>
    <w:rsid w:val="00BA39AF"/>
    <w:rsid w:val="00BA618E"/>
    <w:rsid w:val="00BB4D83"/>
    <w:rsid w:val="00BC132D"/>
    <w:rsid w:val="00BC5859"/>
    <w:rsid w:val="00BD664A"/>
    <w:rsid w:val="00BE4DE3"/>
    <w:rsid w:val="00BF663E"/>
    <w:rsid w:val="00C1176C"/>
    <w:rsid w:val="00C15633"/>
    <w:rsid w:val="00C3079E"/>
    <w:rsid w:val="00C3401B"/>
    <w:rsid w:val="00C357AD"/>
    <w:rsid w:val="00C41B53"/>
    <w:rsid w:val="00C471C6"/>
    <w:rsid w:val="00C50C2D"/>
    <w:rsid w:val="00C61A89"/>
    <w:rsid w:val="00C643CB"/>
    <w:rsid w:val="00C64502"/>
    <w:rsid w:val="00C71A5A"/>
    <w:rsid w:val="00C720D0"/>
    <w:rsid w:val="00C818A8"/>
    <w:rsid w:val="00C863A2"/>
    <w:rsid w:val="00C865ED"/>
    <w:rsid w:val="00C90DAF"/>
    <w:rsid w:val="00C930AE"/>
    <w:rsid w:val="00CA47FF"/>
    <w:rsid w:val="00CC1DE7"/>
    <w:rsid w:val="00CC2CC7"/>
    <w:rsid w:val="00CC49B1"/>
    <w:rsid w:val="00CD5431"/>
    <w:rsid w:val="00CD75B4"/>
    <w:rsid w:val="00CE74EB"/>
    <w:rsid w:val="00CF2491"/>
    <w:rsid w:val="00CF3A4E"/>
    <w:rsid w:val="00CF3E22"/>
    <w:rsid w:val="00D03D47"/>
    <w:rsid w:val="00D03DD0"/>
    <w:rsid w:val="00D07045"/>
    <w:rsid w:val="00D07A36"/>
    <w:rsid w:val="00D07D11"/>
    <w:rsid w:val="00D11830"/>
    <w:rsid w:val="00D11C9F"/>
    <w:rsid w:val="00D1274E"/>
    <w:rsid w:val="00D138DD"/>
    <w:rsid w:val="00D216CB"/>
    <w:rsid w:val="00D36106"/>
    <w:rsid w:val="00D5047A"/>
    <w:rsid w:val="00D52988"/>
    <w:rsid w:val="00D52A24"/>
    <w:rsid w:val="00D535D4"/>
    <w:rsid w:val="00D55E98"/>
    <w:rsid w:val="00D57772"/>
    <w:rsid w:val="00D65FF5"/>
    <w:rsid w:val="00D75A4D"/>
    <w:rsid w:val="00D75DD8"/>
    <w:rsid w:val="00D83B13"/>
    <w:rsid w:val="00D8478B"/>
    <w:rsid w:val="00D86151"/>
    <w:rsid w:val="00D9784B"/>
    <w:rsid w:val="00DA188D"/>
    <w:rsid w:val="00DA56F3"/>
    <w:rsid w:val="00DA7595"/>
    <w:rsid w:val="00DB0A68"/>
    <w:rsid w:val="00DB25B9"/>
    <w:rsid w:val="00DB555C"/>
    <w:rsid w:val="00DC3E84"/>
    <w:rsid w:val="00DC43A3"/>
    <w:rsid w:val="00DC6882"/>
    <w:rsid w:val="00DD68FC"/>
    <w:rsid w:val="00DE1C72"/>
    <w:rsid w:val="00DE4B13"/>
    <w:rsid w:val="00DE4D0D"/>
    <w:rsid w:val="00E01561"/>
    <w:rsid w:val="00E035A1"/>
    <w:rsid w:val="00E04826"/>
    <w:rsid w:val="00E06ED5"/>
    <w:rsid w:val="00E11CD0"/>
    <w:rsid w:val="00E22F58"/>
    <w:rsid w:val="00E42C32"/>
    <w:rsid w:val="00E46212"/>
    <w:rsid w:val="00E600E2"/>
    <w:rsid w:val="00E63D61"/>
    <w:rsid w:val="00E655A0"/>
    <w:rsid w:val="00E66E6E"/>
    <w:rsid w:val="00E674D3"/>
    <w:rsid w:val="00E76C2C"/>
    <w:rsid w:val="00E8231F"/>
    <w:rsid w:val="00E856AB"/>
    <w:rsid w:val="00E905F1"/>
    <w:rsid w:val="00EB2A30"/>
    <w:rsid w:val="00EC1A88"/>
    <w:rsid w:val="00EC3599"/>
    <w:rsid w:val="00EC3EA6"/>
    <w:rsid w:val="00EC5409"/>
    <w:rsid w:val="00EF13D8"/>
    <w:rsid w:val="00EF2BCF"/>
    <w:rsid w:val="00EF3E61"/>
    <w:rsid w:val="00F022AC"/>
    <w:rsid w:val="00F03699"/>
    <w:rsid w:val="00F2274F"/>
    <w:rsid w:val="00F254C3"/>
    <w:rsid w:val="00F373F5"/>
    <w:rsid w:val="00F41596"/>
    <w:rsid w:val="00F429AE"/>
    <w:rsid w:val="00F45147"/>
    <w:rsid w:val="00F47353"/>
    <w:rsid w:val="00F619E7"/>
    <w:rsid w:val="00F66FBC"/>
    <w:rsid w:val="00F70E7C"/>
    <w:rsid w:val="00F77B0B"/>
    <w:rsid w:val="00F80501"/>
    <w:rsid w:val="00F84067"/>
    <w:rsid w:val="00F9296C"/>
    <w:rsid w:val="00F94208"/>
    <w:rsid w:val="00F96CB7"/>
    <w:rsid w:val="00FA7537"/>
    <w:rsid w:val="00FC2CE0"/>
    <w:rsid w:val="00FD592E"/>
    <w:rsid w:val="00FE1665"/>
    <w:rsid w:val="00FE4DEE"/>
    <w:rsid w:val="00FE6D00"/>
    <w:rsid w:val="00FF20DF"/>
    <w:rsid w:val="00FF315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7BB5F"/>
  <w15:chartTrackingRefBased/>
  <w15:docId w15:val="{B4A3EB9D-3D0E-447E-9690-D6D0CD3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B45E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olorfulList-Accent11">
    <w:name w:val="Colorful List - Accent 11"/>
    <w:basedOn w:val="Normal"/>
    <w:uiPriority w:val="34"/>
    <w:qFormat/>
    <w:rsid w:val="001C2CEE"/>
    <w:pPr>
      <w:ind w:left="720"/>
      <w:contextualSpacing/>
    </w:pPr>
    <w:rPr>
      <w:rFonts w:ascii="Calibri" w:eastAsia="MS Mincho" w:hAnsi="Calibri" w:cs="Cordia New"/>
      <w:szCs w:val="22"/>
    </w:rPr>
  </w:style>
  <w:style w:type="character" w:customStyle="1" w:styleId="Heading2Char">
    <w:name w:val="Heading 2 Char"/>
    <w:basedOn w:val="DefaultParagraphFont"/>
    <w:link w:val="Heading2"/>
    <w:semiHidden/>
    <w:rsid w:val="00B45EF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45EF2"/>
    <w:pPr>
      <w:ind w:left="720"/>
      <w:contextualSpacing/>
    </w:pPr>
    <w:rPr>
      <w:rFonts w:asciiTheme="minorHAnsi" w:eastAsiaTheme="minorHAnsi" w:hAnsiTheme="minorHAnsi" w:cstheme="minorBidi"/>
      <w:sz w:val="22"/>
      <w:szCs w:val="28"/>
      <w:lang w:bidi="th-TH"/>
    </w:rPr>
  </w:style>
  <w:style w:type="character" w:styleId="Hyperlink">
    <w:name w:val="Hyperlink"/>
    <w:basedOn w:val="DefaultParagraphFont"/>
    <w:rsid w:val="00E76C2C"/>
    <w:rPr>
      <w:color w:val="0563C1" w:themeColor="hyperlink"/>
      <w:u w:val="single"/>
    </w:rPr>
  </w:style>
  <w:style w:type="character" w:customStyle="1" w:styleId="UnresolvedMention1">
    <w:name w:val="Unresolved Mention1"/>
    <w:basedOn w:val="DefaultParagraphFont"/>
    <w:uiPriority w:val="99"/>
    <w:semiHidden/>
    <w:unhideWhenUsed/>
    <w:rsid w:val="00E76C2C"/>
    <w:rPr>
      <w:color w:val="808080"/>
      <w:shd w:val="clear" w:color="auto" w:fill="E6E6E6"/>
    </w:rPr>
  </w:style>
  <w:style w:type="paragraph" w:styleId="BalloonText">
    <w:name w:val="Balloon Text"/>
    <w:basedOn w:val="Normal"/>
    <w:link w:val="BalloonTextChar"/>
    <w:semiHidden/>
    <w:unhideWhenUsed/>
    <w:rsid w:val="00187BA5"/>
    <w:rPr>
      <w:sz w:val="18"/>
      <w:szCs w:val="18"/>
    </w:rPr>
  </w:style>
  <w:style w:type="character" w:customStyle="1" w:styleId="BalloonTextChar">
    <w:name w:val="Balloon Text Char"/>
    <w:basedOn w:val="DefaultParagraphFont"/>
    <w:link w:val="BalloonText"/>
    <w:semiHidden/>
    <w:rsid w:val="00187BA5"/>
    <w:rPr>
      <w:rFonts w:eastAsia="BatangChe"/>
      <w:sz w:val="18"/>
      <w:szCs w:val="18"/>
    </w:rPr>
  </w:style>
  <w:style w:type="character" w:styleId="CommentReference">
    <w:name w:val="annotation reference"/>
    <w:basedOn w:val="DefaultParagraphFont"/>
    <w:rsid w:val="003961EF"/>
    <w:rPr>
      <w:sz w:val="21"/>
      <w:szCs w:val="21"/>
    </w:rPr>
  </w:style>
  <w:style w:type="paragraph" w:styleId="CommentText">
    <w:name w:val="annotation text"/>
    <w:basedOn w:val="Normal"/>
    <w:link w:val="CommentTextChar"/>
    <w:rsid w:val="003961EF"/>
  </w:style>
  <w:style w:type="character" w:customStyle="1" w:styleId="CommentTextChar">
    <w:name w:val="Comment Text Char"/>
    <w:basedOn w:val="DefaultParagraphFont"/>
    <w:link w:val="CommentText"/>
    <w:rsid w:val="003961EF"/>
    <w:rPr>
      <w:rFonts w:eastAsia="BatangChe"/>
      <w:sz w:val="24"/>
      <w:szCs w:val="24"/>
    </w:rPr>
  </w:style>
  <w:style w:type="paragraph" w:styleId="CommentSubject">
    <w:name w:val="annotation subject"/>
    <w:basedOn w:val="CommentText"/>
    <w:next w:val="CommentText"/>
    <w:link w:val="CommentSubjectChar"/>
    <w:rsid w:val="003961EF"/>
    <w:rPr>
      <w:b/>
      <w:bCs/>
    </w:rPr>
  </w:style>
  <w:style w:type="character" w:customStyle="1" w:styleId="CommentSubjectChar">
    <w:name w:val="Comment Subject Char"/>
    <w:basedOn w:val="CommentTextChar"/>
    <w:link w:val="CommentSubject"/>
    <w:rsid w:val="003961EF"/>
    <w:rPr>
      <w:rFonts w:eastAsia="BatangChe"/>
      <w:b/>
      <w:bCs/>
      <w:sz w:val="24"/>
      <w:szCs w:val="24"/>
    </w:rPr>
  </w:style>
  <w:style w:type="table" w:styleId="TableGrid">
    <w:name w:val="Table Grid"/>
    <w:basedOn w:val="TableNormal"/>
    <w:uiPriority w:val="59"/>
    <w:rsid w:val="0000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ECC Footnote"/>
    <w:basedOn w:val="Normal"/>
    <w:link w:val="FootnoteTextChar"/>
    <w:uiPriority w:val="99"/>
    <w:qFormat/>
    <w:rsid w:val="00C865ED"/>
    <w:pPr>
      <w:widowControl w:val="0"/>
      <w:tabs>
        <w:tab w:val="left" w:pos="284"/>
      </w:tabs>
      <w:spacing w:before="60" w:line="288" w:lineRule="auto"/>
      <w:ind w:left="284" w:hanging="284"/>
      <w:jc w:val="both"/>
    </w:pPr>
    <w:rPr>
      <w:rFonts w:ascii="Arial" w:eastAsia="Calibri" w:hAnsi="Arial"/>
      <w:sz w:val="16"/>
      <w:szCs w:val="16"/>
      <w:lang w:val="da-DK"/>
      <w14:cntxtAlts/>
    </w:rPr>
  </w:style>
  <w:style w:type="character" w:customStyle="1" w:styleId="FootnoteTextChar">
    <w:name w:val="Footnote Text Char"/>
    <w:aliases w:val="ECC Footnote Char"/>
    <w:basedOn w:val="DefaultParagraphFont"/>
    <w:link w:val="FootnoteText"/>
    <w:uiPriority w:val="99"/>
    <w:rsid w:val="00C865ED"/>
    <w:rPr>
      <w:rFonts w:ascii="Arial" w:eastAsia="Calibri" w:hAnsi="Arial"/>
      <w:sz w:val="16"/>
      <w:szCs w:val="16"/>
      <w:lang w:val="da-DK"/>
      <w14:cntxtAlts/>
    </w:rPr>
  </w:style>
  <w:style w:type="character" w:styleId="FootnoteReference">
    <w:name w:val="footnote reference"/>
    <w:aliases w:val="ECC Footnote number,Appel note de bas de p,Footnote Reference/,Footnote,Footnote symbol"/>
    <w:basedOn w:val="DefaultParagraphFont"/>
    <w:uiPriority w:val="99"/>
    <w:rsid w:val="00C865ED"/>
    <w:rPr>
      <w:rFonts w:ascii="Arial" w:hAnsi="Arial"/>
      <w:sz w:val="20"/>
      <w:vertAlign w:val="superscript"/>
    </w:rPr>
  </w:style>
  <w:style w:type="character" w:customStyle="1" w:styleId="ECCHLsuperscript">
    <w:name w:val="ECC HL superscript"/>
    <w:uiPriority w:val="1"/>
    <w:rsid w:val="00C865ED"/>
    <w:rPr>
      <w:vertAlign w:val="superscript"/>
    </w:rPr>
  </w:style>
  <w:style w:type="character" w:customStyle="1" w:styleId="ECCParagraph">
    <w:name w:val="ECC Paragraph"/>
    <w:basedOn w:val="DefaultParagraphFont"/>
    <w:uiPriority w:val="1"/>
    <w:qFormat/>
    <w:rsid w:val="00C865ED"/>
    <w:rPr>
      <w:rFonts w:ascii="Arial" w:hAnsi="Arial"/>
      <w:noProof w:val="0"/>
      <w:sz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3-2018\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04C01-4DDC-409A-9DDB-E89B0BED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AWG-23 Document Template</Template>
  <TotalTime>4</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APT Secretariat</dc:creator>
  <cp:keywords/>
  <cp:lastModifiedBy>Tawhid Hussain</cp:lastModifiedBy>
  <cp:revision>4</cp:revision>
  <cp:lastPrinted>1899-12-31T23:00:00Z</cp:lastPrinted>
  <dcterms:created xsi:type="dcterms:W3CDTF">2022-09-09T03:59:00Z</dcterms:created>
  <dcterms:modified xsi:type="dcterms:W3CDTF">2022-09-13T14:53:00Z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1616332132</vt:lpwstr>
  </property>
  <property fmtid="{D5CDD505-2E9C-101B-9397-08002B2CF9AE}" pid="6" name="_2015_ms_pID_725343">
    <vt:lpwstr>(3)XhmjFzrPn9qxqVa8xp48pWyndliRgMUTQXy/KKJFsDPQTL5c9SBh6zLnS15kwBi5mSeJbLff
sK0OfIPRp4zpJRwpr7VPX3IUmtf8mw5SvEDh86ye/nAgZqvgqhwHDBA4CmOXtfphyXJHviN+
p7166LmKFXyCm5NeujZASxkkHZeTiwi93yIBs5DqLii4sYEebC83H4w1r+Fld5tZWWBAstLX
IZ+hMDFmsJORrwBXEJ</vt:lpwstr>
  </property>
  <property fmtid="{D5CDD505-2E9C-101B-9397-08002B2CF9AE}" pid="7" name="_2015_ms_pID_7253431">
    <vt:lpwstr>YRIiBogRrxD7z0ppFtFFaMqwvBBEuvN9DpM1gjcO6Wm//y57+UKbQO
JXfR/2wJI4JiCpgTWDmXfNzAxFKKhZGyoxNBjOwZvAg+y5cMNVRHIcM77/eoE1JC5J9cMfvB
KCYOAQB4XhFwJpDHrE1ABbgFwOKwa3oFrmdWV6LHBE9D7ltesX8wSYfhIn5nrjHXIZsIY74o
7vOOIVixz7hiB3egFqa/0TCEaA6ziO45s73m</vt:lpwstr>
  </property>
  <property fmtid="{D5CDD505-2E9C-101B-9397-08002B2CF9AE}" pid="8" name="_2015_ms_pID_7253432">
    <vt:lpwstr>OA==</vt:lpwstr>
  </property>
</Properties>
</file>