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0" w:type="dxa"/>
        <w:tblInd w:w="-171"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50"/>
        <w:gridCol w:w="6570"/>
        <w:gridCol w:w="2070"/>
      </w:tblGrid>
      <w:tr w:rsidR="003771CA" w:rsidRPr="00891D0B" w:rsidTr="003B6E54">
        <w:trPr>
          <w:cantSplit/>
        </w:trPr>
        <w:tc>
          <w:tcPr>
            <w:tcW w:w="1350" w:type="dxa"/>
            <w:vMerge w:val="restart"/>
          </w:tcPr>
          <w:p w:rsidR="003771CA" w:rsidRPr="00891D0B" w:rsidRDefault="004540C9"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6570" w:type="dxa"/>
          </w:tcPr>
          <w:p w:rsidR="003771CA" w:rsidRPr="007E6C90" w:rsidRDefault="003771CA" w:rsidP="00906EB0">
            <w:pPr>
              <w:pStyle w:val="Heading8"/>
              <w:spacing w:line="276" w:lineRule="auto"/>
              <w:rPr>
                <w:b w:val="0"/>
                <w:sz w:val="24"/>
                <w:szCs w:val="24"/>
              </w:rPr>
            </w:pPr>
            <w:r w:rsidRPr="007E6C90">
              <w:rPr>
                <w:b w:val="0"/>
                <w:sz w:val="24"/>
                <w:szCs w:val="24"/>
              </w:rPr>
              <w:t>ASIA-PACIFIC TELECOMMUNITY</w:t>
            </w:r>
          </w:p>
        </w:tc>
        <w:tc>
          <w:tcPr>
            <w:tcW w:w="2070" w:type="dxa"/>
          </w:tcPr>
          <w:p w:rsidR="003771CA" w:rsidRPr="007E6C90" w:rsidRDefault="003771CA" w:rsidP="003771CA">
            <w:pPr>
              <w:rPr>
                <w:b/>
              </w:rPr>
            </w:pPr>
          </w:p>
        </w:tc>
      </w:tr>
      <w:tr w:rsidR="00DA7595" w:rsidRPr="00891D0B" w:rsidTr="003B6E54">
        <w:trPr>
          <w:cantSplit/>
        </w:trPr>
        <w:tc>
          <w:tcPr>
            <w:tcW w:w="1350" w:type="dxa"/>
            <w:vMerge/>
          </w:tcPr>
          <w:p w:rsidR="00DA7595" w:rsidRPr="00891D0B" w:rsidRDefault="00DA7595" w:rsidP="0045458F"/>
        </w:tc>
        <w:tc>
          <w:tcPr>
            <w:tcW w:w="6570" w:type="dxa"/>
          </w:tcPr>
          <w:p w:rsidR="00DA7595" w:rsidRPr="00891D0B" w:rsidRDefault="00DA7595" w:rsidP="00F9296C">
            <w:pPr>
              <w:spacing w:line="0" w:lineRule="atLeast"/>
            </w:pPr>
            <w:r>
              <w:rPr>
                <w:b/>
              </w:rPr>
              <w:t xml:space="preserve">The </w:t>
            </w:r>
            <w:r w:rsidR="003B6E54">
              <w:rPr>
                <w:b/>
              </w:rPr>
              <w:t>23rd</w:t>
            </w:r>
            <w:r w:rsidR="0067040A">
              <w:rPr>
                <w:b/>
              </w:rPr>
              <w:t xml:space="preserve"> </w:t>
            </w:r>
            <w:r w:rsidR="00262EAB">
              <w:rPr>
                <w:b/>
              </w:rPr>
              <w:t>Meeting</w:t>
            </w:r>
            <w:r w:rsidR="00E035A1">
              <w:rPr>
                <w:b/>
              </w:rPr>
              <w:t xml:space="preserve"> of the APT Wireless </w:t>
            </w:r>
            <w:r w:rsidR="00AA41DB">
              <w:rPr>
                <w:b/>
              </w:rPr>
              <w:t>Group (AWG</w:t>
            </w:r>
            <w:r w:rsidR="003D4768">
              <w:rPr>
                <w:b/>
              </w:rPr>
              <w:t>-</w:t>
            </w:r>
            <w:r w:rsidR="003B6E54">
              <w:rPr>
                <w:b/>
              </w:rPr>
              <w:t>23</w:t>
            </w:r>
            <w:r w:rsidR="003D4768">
              <w:rPr>
                <w:b/>
              </w:rPr>
              <w:t>)</w:t>
            </w:r>
            <w:r w:rsidR="00BF663E">
              <w:rPr>
                <w:b/>
              </w:rPr>
              <w:t xml:space="preserve"> </w:t>
            </w:r>
          </w:p>
        </w:tc>
        <w:tc>
          <w:tcPr>
            <w:tcW w:w="2070" w:type="dxa"/>
          </w:tcPr>
          <w:p w:rsidR="00DA7595" w:rsidRPr="004D7A60" w:rsidRDefault="00DA7595" w:rsidP="004540C9">
            <w:pPr>
              <w:rPr>
                <w:b/>
                <w:bCs/>
              </w:rPr>
            </w:pPr>
          </w:p>
        </w:tc>
      </w:tr>
      <w:tr w:rsidR="003578AB" w:rsidRPr="00891D0B" w:rsidTr="003B6E54">
        <w:trPr>
          <w:cantSplit/>
          <w:trHeight w:val="219"/>
        </w:trPr>
        <w:tc>
          <w:tcPr>
            <w:tcW w:w="1350" w:type="dxa"/>
            <w:vMerge/>
          </w:tcPr>
          <w:p w:rsidR="003578AB" w:rsidRPr="00891D0B" w:rsidRDefault="003578AB" w:rsidP="0045458F"/>
        </w:tc>
        <w:tc>
          <w:tcPr>
            <w:tcW w:w="6570" w:type="dxa"/>
          </w:tcPr>
          <w:p w:rsidR="0018079A" w:rsidRDefault="0018079A" w:rsidP="003771CA"/>
          <w:p w:rsidR="003578AB" w:rsidRPr="0018079A" w:rsidRDefault="003B6E54" w:rsidP="003B6E54">
            <w:r>
              <w:t>9 – 13</w:t>
            </w:r>
            <w:r w:rsidR="0018079A">
              <w:t xml:space="preserve"> </w:t>
            </w:r>
            <w:r>
              <w:t>April 2018</w:t>
            </w:r>
            <w:r w:rsidR="0018079A" w:rsidRPr="00891D0B">
              <w:t xml:space="preserve">, </w:t>
            </w:r>
            <w:r>
              <w:t>Da Nang City</w:t>
            </w:r>
            <w:r w:rsidR="0018079A">
              <w:t xml:space="preserve">, </w:t>
            </w:r>
            <w:r>
              <w:t xml:space="preserve">Socialist </w:t>
            </w:r>
            <w:r w:rsidR="00F9296C">
              <w:t xml:space="preserve">Republic of </w:t>
            </w:r>
            <w:r>
              <w:t>Viet Nam</w:t>
            </w:r>
          </w:p>
        </w:tc>
        <w:tc>
          <w:tcPr>
            <w:tcW w:w="2070" w:type="dxa"/>
          </w:tcPr>
          <w:p w:rsidR="003771CA" w:rsidRDefault="003771CA" w:rsidP="000A6769">
            <w:pPr>
              <w:pStyle w:val="Heading1"/>
              <w:jc w:val="left"/>
              <w:rPr>
                <w:b w:val="0"/>
                <w:bCs w:val="0"/>
                <w:u w:val="none"/>
              </w:rPr>
            </w:pPr>
          </w:p>
          <w:p w:rsidR="003578AB" w:rsidRPr="003771CA" w:rsidRDefault="00D200ED" w:rsidP="00CC1DE7">
            <w:pPr>
              <w:pStyle w:val="Heading1"/>
              <w:jc w:val="left"/>
              <w:rPr>
                <w:b w:val="0"/>
              </w:rPr>
            </w:pPr>
            <w:r>
              <w:rPr>
                <w:b w:val="0"/>
                <w:bCs w:val="0"/>
                <w:u w:val="none"/>
              </w:rPr>
              <w:t>13</w:t>
            </w:r>
            <w:r w:rsidR="003578AB" w:rsidRPr="003771CA">
              <w:rPr>
                <w:b w:val="0"/>
                <w:bCs w:val="0"/>
                <w:u w:val="none"/>
              </w:rPr>
              <w:t xml:space="preserve"> </w:t>
            </w:r>
            <w:r w:rsidR="00CC1DE7">
              <w:rPr>
                <w:b w:val="0"/>
                <w:bCs w:val="0"/>
                <w:u w:val="none"/>
              </w:rPr>
              <w:t xml:space="preserve">April </w:t>
            </w:r>
            <w:r w:rsidR="003578AB" w:rsidRPr="003771CA">
              <w:rPr>
                <w:b w:val="0"/>
                <w:bCs w:val="0"/>
                <w:u w:val="none"/>
              </w:rPr>
              <w:t>201</w:t>
            </w:r>
            <w:r w:rsidR="00CC1DE7">
              <w:rPr>
                <w:b w:val="0"/>
                <w:bCs w:val="0"/>
                <w:u w:val="none"/>
              </w:rPr>
              <w:t>8</w:t>
            </w:r>
          </w:p>
        </w:tc>
      </w:tr>
    </w:tbl>
    <w:p w:rsidR="00DA7595" w:rsidRPr="000378E2" w:rsidRDefault="000378E2" w:rsidP="000378E2">
      <w:pPr>
        <w:rPr>
          <w:sz w:val="28"/>
          <w:szCs w:val="28"/>
          <w:lang w:eastAsia="ko-KR"/>
        </w:rPr>
      </w:pPr>
      <w:r>
        <w:rPr>
          <w:sz w:val="28"/>
          <w:szCs w:val="28"/>
          <w:lang w:eastAsia="ko-KR"/>
        </w:rPr>
        <w:t>Source:</w:t>
      </w:r>
      <w:r w:rsidRPr="000378E2">
        <w:rPr>
          <w:b/>
          <w:bCs/>
        </w:rPr>
        <w:t xml:space="preserve"> </w:t>
      </w:r>
      <w:r w:rsidRPr="000378E2">
        <w:rPr>
          <w:bCs/>
        </w:rPr>
        <w:t>AWG-23/OUT-20</w:t>
      </w:r>
    </w:p>
    <w:p w:rsidR="000A6769" w:rsidRDefault="000A2485" w:rsidP="0063062B">
      <w:pPr>
        <w:jc w:val="center"/>
        <w:rPr>
          <w:bCs/>
          <w:lang w:eastAsia="ko-KR"/>
        </w:rPr>
      </w:pPr>
      <w:r>
        <w:rPr>
          <w:bCs/>
          <w:lang w:eastAsia="ko-KR"/>
        </w:rPr>
        <w:t xml:space="preserve">Working Group </w:t>
      </w:r>
      <w:r w:rsidR="00FE54B3">
        <w:rPr>
          <w:bCs/>
          <w:lang w:eastAsia="ko-KR"/>
        </w:rPr>
        <w:t xml:space="preserve">on </w:t>
      </w:r>
      <w:r>
        <w:rPr>
          <w:bCs/>
          <w:lang w:eastAsia="ko-KR"/>
        </w:rPr>
        <w:t>Spectrum</w:t>
      </w:r>
      <w:r w:rsidR="00FE54B3">
        <w:rPr>
          <w:bCs/>
          <w:lang w:eastAsia="ko-KR"/>
        </w:rPr>
        <w:t xml:space="preserve"> Aspects</w:t>
      </w:r>
    </w:p>
    <w:p w:rsidR="000A2485" w:rsidRDefault="000A2485" w:rsidP="0063062B">
      <w:pPr>
        <w:jc w:val="center"/>
        <w:rPr>
          <w:b/>
          <w:bCs/>
          <w:caps/>
          <w:sz w:val="28"/>
          <w:szCs w:val="28"/>
        </w:rPr>
      </w:pPr>
    </w:p>
    <w:p w:rsidR="004540C9" w:rsidRPr="00530E15" w:rsidRDefault="004540C9" w:rsidP="004540C9">
      <w:pPr>
        <w:jc w:val="center"/>
        <w:rPr>
          <w:b/>
          <w:sz w:val="26"/>
          <w:szCs w:val="26"/>
        </w:rPr>
      </w:pPr>
      <w:r w:rsidRPr="00530E15">
        <w:rPr>
          <w:b/>
          <w:sz w:val="26"/>
          <w:szCs w:val="26"/>
        </w:rPr>
        <w:t>QUESTIONNAIRE ON THE STATUS OF IMPLEMENTATION OF APT700 BAND PLAN</w:t>
      </w:r>
    </w:p>
    <w:p w:rsidR="004540C9" w:rsidRDefault="004540C9" w:rsidP="004540C9">
      <w:pPr>
        <w:jc w:val="center"/>
        <w:rPr>
          <w:b/>
        </w:rPr>
      </w:pPr>
    </w:p>
    <w:p w:rsidR="004540C9" w:rsidRDefault="004540C9" w:rsidP="004540C9">
      <w:pPr>
        <w:jc w:val="center"/>
        <w:rPr>
          <w:b/>
        </w:rPr>
      </w:pPr>
    </w:p>
    <w:p w:rsidR="004540C9" w:rsidRPr="005A7820" w:rsidRDefault="004540C9" w:rsidP="004540C9">
      <w:pPr>
        <w:jc w:val="center"/>
        <w:rPr>
          <w:b/>
        </w:rPr>
      </w:pPr>
      <w:r w:rsidRPr="005A7820">
        <w:rPr>
          <w:b/>
        </w:rPr>
        <w:t>Introductory Part</w:t>
      </w:r>
    </w:p>
    <w:p w:rsidR="004540C9" w:rsidRDefault="004540C9" w:rsidP="004540C9">
      <w:pPr>
        <w:jc w:val="both"/>
      </w:pPr>
      <w:r w:rsidRPr="00530E15">
        <w:rPr>
          <w:b/>
        </w:rPr>
        <w:t>Background:</w:t>
      </w:r>
      <w:r>
        <w:br/>
      </w:r>
    </w:p>
    <w:p w:rsidR="004540C9" w:rsidRPr="004540C9" w:rsidRDefault="004540C9" w:rsidP="004540C9">
      <w:pPr>
        <w:jc w:val="both"/>
      </w:pPr>
      <w:r w:rsidRPr="004540C9">
        <w:t>The 9th Meeting of the APT Wireless Group (formerly known as APT Wireless Forum) held in Seoul, Republic of Korea from 13 -16 September 2009 adopted APT Report on Harmonized Frequency Arrangements for the Band 698-806 MHz (</w:t>
      </w:r>
      <w:hyperlink r:id="rId8" w:history="1">
        <w:r w:rsidRPr="004540C9">
          <w:rPr>
            <w:rStyle w:val="Hyperlink"/>
          </w:rPr>
          <w:t>APT Report No.: APT/AWG/REP-14</w:t>
        </w:r>
      </w:hyperlink>
      <w:r w:rsidRPr="004540C9">
        <w:t xml:space="preserve">).  The arrangement or the band plan was named as APT700. The band plan included the arrangements for both FDD and TDD modes. </w:t>
      </w:r>
    </w:p>
    <w:p w:rsidR="004540C9" w:rsidRPr="004540C9" w:rsidRDefault="004540C9" w:rsidP="004540C9">
      <w:pPr>
        <w:pStyle w:val="Default"/>
        <w:jc w:val="both"/>
        <w:rPr>
          <w:rStyle w:val="Strong"/>
          <w:rFonts w:ascii="Times New Roman" w:hAnsi="Times New Roman" w:cs="Times New Roman"/>
          <w:b w:val="0"/>
        </w:rPr>
      </w:pPr>
      <w:r w:rsidRPr="004540C9">
        <w:rPr>
          <w:rFonts w:ascii="Times New Roman" w:hAnsi="Times New Roman" w:cs="Times New Roman"/>
        </w:rPr>
        <w:t xml:space="preserve">Following the development of APT700 at APT Wireless Group (AWG), 3GPP developed the radio interface specifications for both modes of APT700, FDD which is known as Band 28 and TDD which is known as Band 44. APT700 was also included in ITU-R Recommendation M.1036-4: </w:t>
      </w:r>
      <w:r w:rsidRPr="004540C9">
        <w:rPr>
          <w:rStyle w:val="Strong"/>
          <w:rFonts w:ascii="Times New Roman" w:hAnsi="Times New Roman" w:cs="Times New Roman"/>
          <w:i/>
        </w:rPr>
        <w:t>Frequency arrangements for implementation of the terrestrial component of International Mobile Telecommunications (IMT) in the bands identified for IMT in the Radio Regulations (RR)</w:t>
      </w:r>
      <w:r w:rsidRPr="004540C9">
        <w:rPr>
          <w:rStyle w:val="Strong"/>
          <w:rFonts w:ascii="Times New Roman" w:hAnsi="Times New Roman" w:cs="Times New Roman"/>
        </w:rPr>
        <w:t xml:space="preserve">. </w:t>
      </w:r>
    </w:p>
    <w:p w:rsidR="004540C9" w:rsidRPr="004540C9" w:rsidRDefault="004540C9" w:rsidP="004540C9">
      <w:pPr>
        <w:pStyle w:val="Default"/>
        <w:jc w:val="both"/>
        <w:rPr>
          <w:rStyle w:val="Strong"/>
          <w:rFonts w:ascii="Times New Roman" w:hAnsi="Times New Roman" w:cs="Times New Roman"/>
          <w:b w:val="0"/>
        </w:rPr>
      </w:pPr>
    </w:p>
    <w:p w:rsidR="004540C9" w:rsidRPr="004540C9" w:rsidRDefault="004540C9" w:rsidP="004540C9">
      <w:pPr>
        <w:jc w:val="both"/>
      </w:pPr>
      <w:r w:rsidRPr="004540C9">
        <w:t xml:space="preserve">APT700 has now been widely recognized as a “Digital Dividend” spectrum for LTE services. All regions around the world, except few exceptions, have decided or have an intention to adopt APT700 as the preferable band plan for LTE. Potential market size for APT700 covers more than 4 billion people. So far 49 countries/territories around the world either allocated or committed to or recommend APT700 FDD deployment. There had been cases of APT700 TDD deployment as well. </w:t>
      </w:r>
    </w:p>
    <w:p w:rsidR="004540C9" w:rsidRDefault="004540C9" w:rsidP="004540C9">
      <w:pPr>
        <w:jc w:val="both"/>
      </w:pPr>
    </w:p>
    <w:p w:rsidR="004540C9" w:rsidRPr="004540C9" w:rsidRDefault="004540C9" w:rsidP="004540C9">
      <w:pPr>
        <w:jc w:val="both"/>
      </w:pPr>
      <w:r w:rsidRPr="004540C9">
        <w:t xml:space="preserve">Considering the importance and wide acceptance of APT700, the 19th Meeting of the AWG (AWG-19) held in Chiang Mai, Thailand from 2 to 5 February 2016, developed the APT Recommendation on </w:t>
      </w:r>
      <w:r w:rsidRPr="004540C9">
        <w:rPr>
          <w:i/>
        </w:rPr>
        <w:t xml:space="preserve">Frequency Arrangements for the Implementation of IMT in the Band 698-806 MHz </w:t>
      </w:r>
      <w:r w:rsidRPr="004540C9">
        <w:t xml:space="preserve">which was then subsequently approved by the 40th Session of the Management Committee of the APT (MC-40) held in </w:t>
      </w:r>
      <w:proofErr w:type="spellStart"/>
      <w:r w:rsidRPr="004540C9">
        <w:t>Nadi</w:t>
      </w:r>
      <w:proofErr w:type="spellEnd"/>
      <w:r w:rsidRPr="004540C9">
        <w:t>, Fiji from 29 November to 2 December 2016. The Recommendation (</w:t>
      </w:r>
      <w:hyperlink r:id="rId9" w:history="1">
        <w:r w:rsidRPr="004540C9">
          <w:rPr>
            <w:rStyle w:val="Hyperlink"/>
          </w:rPr>
          <w:t>No. APT/AWG/REC-08</w:t>
        </w:r>
      </w:hyperlink>
      <w:r w:rsidRPr="004540C9">
        <w:t>) recommends APT Members to:</w:t>
      </w:r>
    </w:p>
    <w:p w:rsidR="004540C9" w:rsidRPr="004540C9" w:rsidRDefault="004540C9" w:rsidP="004540C9">
      <w:pPr>
        <w:pStyle w:val="ListParagraph"/>
        <w:numPr>
          <w:ilvl w:val="0"/>
          <w:numId w:val="9"/>
        </w:numPr>
        <w:spacing w:before="120"/>
        <w:jc w:val="both"/>
        <w:rPr>
          <w:rFonts w:ascii="Times New Roman" w:eastAsia="BatangChe" w:hAnsi="Times New Roman"/>
          <w:sz w:val="24"/>
          <w:szCs w:val="24"/>
          <w:lang w:eastAsia="zh-CN"/>
        </w:rPr>
      </w:pPr>
      <w:r w:rsidRPr="004540C9">
        <w:rPr>
          <w:rFonts w:ascii="Times New Roman" w:eastAsia="BatangChe" w:hAnsi="Times New Roman"/>
          <w:sz w:val="24"/>
          <w:szCs w:val="24"/>
          <w:lang w:eastAsia="zh-CN"/>
        </w:rPr>
        <w:t>adopt the harmonized frequency arrangements given in Annex 1 for the deployment of IMT systems in the band 698 - 806 MHz;</w:t>
      </w:r>
    </w:p>
    <w:p w:rsidR="004540C9" w:rsidRPr="004540C9" w:rsidRDefault="004540C9" w:rsidP="004540C9">
      <w:pPr>
        <w:pStyle w:val="ListParagraph"/>
        <w:numPr>
          <w:ilvl w:val="0"/>
          <w:numId w:val="9"/>
        </w:numPr>
        <w:spacing w:before="120"/>
        <w:jc w:val="both"/>
        <w:rPr>
          <w:rFonts w:ascii="Times New Roman" w:eastAsia="BatangChe" w:hAnsi="Times New Roman"/>
          <w:sz w:val="24"/>
          <w:szCs w:val="24"/>
          <w:lang w:eastAsia="zh-CN"/>
        </w:rPr>
      </w:pPr>
      <w:r w:rsidRPr="004540C9">
        <w:rPr>
          <w:rFonts w:ascii="Times New Roman" w:eastAsia="BatangChe" w:hAnsi="Times New Roman"/>
          <w:sz w:val="24"/>
          <w:szCs w:val="24"/>
          <w:lang w:eastAsia="zh-CN"/>
        </w:rPr>
        <w:t>take into account the implementation aspects detailed in Annex 2 when implementing the frequency arrangements given in Annex 1;</w:t>
      </w:r>
    </w:p>
    <w:p w:rsidR="004540C9" w:rsidRPr="004540C9" w:rsidRDefault="004540C9" w:rsidP="004540C9">
      <w:pPr>
        <w:pStyle w:val="ListParagraph"/>
        <w:numPr>
          <w:ilvl w:val="0"/>
          <w:numId w:val="9"/>
        </w:numPr>
        <w:spacing w:before="120"/>
        <w:jc w:val="both"/>
        <w:rPr>
          <w:rFonts w:ascii="Times New Roman" w:eastAsia="BatangChe" w:hAnsi="Times New Roman"/>
          <w:sz w:val="24"/>
          <w:szCs w:val="24"/>
          <w:lang w:eastAsia="ko-KR"/>
        </w:rPr>
      </w:pPr>
      <w:r w:rsidRPr="004540C9">
        <w:rPr>
          <w:rFonts w:ascii="Times New Roman" w:eastAsia="BatangChe" w:hAnsi="Times New Roman"/>
          <w:sz w:val="24"/>
          <w:szCs w:val="24"/>
          <w:lang w:eastAsia="zh-CN"/>
        </w:rPr>
        <w:t>coordinate with neighboring countries to avoid risk of interference between Broadcasting and IMT use in this band;</w:t>
      </w:r>
    </w:p>
    <w:p w:rsidR="004540C9" w:rsidRPr="004540C9" w:rsidRDefault="004540C9" w:rsidP="004540C9">
      <w:pPr>
        <w:pStyle w:val="ListParagraph"/>
        <w:numPr>
          <w:ilvl w:val="0"/>
          <w:numId w:val="9"/>
        </w:numPr>
        <w:spacing w:before="120"/>
        <w:jc w:val="both"/>
        <w:rPr>
          <w:rFonts w:ascii="Times New Roman" w:hAnsi="Times New Roman"/>
          <w:sz w:val="24"/>
          <w:szCs w:val="24"/>
        </w:rPr>
      </w:pPr>
      <w:r w:rsidRPr="004540C9">
        <w:rPr>
          <w:rFonts w:ascii="Times New Roman" w:eastAsia="Batang" w:hAnsi="Times New Roman"/>
          <w:sz w:val="24"/>
          <w:szCs w:val="24"/>
          <w:lang w:eastAsia="ko-KR"/>
        </w:rPr>
        <w:t>coordinate the use of duplex schemes (FDD and TDD) to minimize interference between neighboring countries; a</w:t>
      </w:r>
    </w:p>
    <w:p w:rsidR="004540C9" w:rsidRPr="004540C9" w:rsidRDefault="004540C9" w:rsidP="004540C9">
      <w:pPr>
        <w:pStyle w:val="ListParagraph"/>
        <w:numPr>
          <w:ilvl w:val="0"/>
          <w:numId w:val="9"/>
        </w:numPr>
        <w:spacing w:before="120"/>
        <w:jc w:val="both"/>
        <w:rPr>
          <w:rFonts w:ascii="Times New Roman" w:hAnsi="Times New Roman"/>
          <w:sz w:val="24"/>
          <w:szCs w:val="24"/>
        </w:rPr>
      </w:pPr>
      <w:proofErr w:type="gramStart"/>
      <w:r w:rsidRPr="004540C9">
        <w:rPr>
          <w:rFonts w:ascii="Times New Roman" w:eastAsia="Batang" w:hAnsi="Times New Roman"/>
          <w:sz w:val="24"/>
          <w:szCs w:val="24"/>
          <w:lang w:eastAsia="ko-KR"/>
        </w:rPr>
        <w:t>avoid</w:t>
      </w:r>
      <w:proofErr w:type="gramEnd"/>
      <w:r w:rsidRPr="004540C9">
        <w:rPr>
          <w:rFonts w:ascii="Times New Roman" w:eastAsia="Batang" w:hAnsi="Times New Roman"/>
          <w:sz w:val="24"/>
          <w:szCs w:val="24"/>
          <w:lang w:eastAsia="ko-KR"/>
        </w:rPr>
        <w:t xml:space="preserve"> use of both duplex schemes (FDD and TDD) in the same country</w:t>
      </w:r>
      <w:r w:rsidRPr="004540C9">
        <w:rPr>
          <w:rFonts w:ascii="Times New Roman" w:hAnsi="Times New Roman"/>
          <w:sz w:val="24"/>
          <w:szCs w:val="24"/>
        </w:rPr>
        <w:t xml:space="preserve"> .</w:t>
      </w:r>
    </w:p>
    <w:p w:rsidR="008133E2" w:rsidRDefault="004540C9" w:rsidP="004540C9">
      <w:pPr>
        <w:spacing w:before="120"/>
        <w:jc w:val="both"/>
      </w:pPr>
      <w:r w:rsidRPr="007D7E70">
        <w:rPr>
          <w:b/>
        </w:rPr>
        <w:lastRenderedPageBreak/>
        <w:t>Objective:</w:t>
      </w:r>
      <w:r>
        <w:br/>
      </w:r>
    </w:p>
    <w:p w:rsidR="004540C9" w:rsidRDefault="004540C9" w:rsidP="004540C9">
      <w:pPr>
        <w:spacing w:before="120"/>
        <w:jc w:val="both"/>
      </w:pPr>
      <w:r>
        <w:t>The 22nd Meeting of the APT Wireless Group (AWG-22) from in Busan, Republic of Korea from 25 to 29 September 2017, instructed APT Secretariat to develop a report on the status of the implementation of the APT700 in Asia-Pacific region.  AWG-22 also instructed APT Secretariat to make a related questionnaire to develop such status report. The objective of this questionnaire is to gather information from APT Members and Associate Members regarding the status of implementation of APT700. Based on the responses from APT Members and Associate Members, APT Secretariat will compiled the Report.</w:t>
      </w:r>
    </w:p>
    <w:p w:rsidR="008133E2" w:rsidRDefault="008133E2" w:rsidP="004540C9">
      <w:pPr>
        <w:jc w:val="both"/>
        <w:rPr>
          <w:b/>
        </w:rPr>
      </w:pPr>
    </w:p>
    <w:p w:rsidR="004540C9" w:rsidRPr="00AD1809" w:rsidRDefault="004540C9" w:rsidP="004540C9">
      <w:pPr>
        <w:jc w:val="both"/>
        <w:rPr>
          <w:b/>
        </w:rPr>
      </w:pPr>
      <w:r>
        <w:rPr>
          <w:b/>
        </w:rPr>
        <w:t>APT Secretariat c</w:t>
      </w:r>
      <w:r w:rsidRPr="00AD1809">
        <w:rPr>
          <w:b/>
        </w:rPr>
        <w:t>ontact</w:t>
      </w:r>
      <w:r>
        <w:rPr>
          <w:b/>
        </w:rPr>
        <w:t xml:space="preserve"> and reply to the questionnaire</w:t>
      </w:r>
      <w:r w:rsidRPr="00AD1809">
        <w:rPr>
          <w:b/>
        </w:rPr>
        <w:t>:</w:t>
      </w:r>
    </w:p>
    <w:p w:rsidR="004540C9" w:rsidRDefault="004540C9" w:rsidP="004540C9">
      <w:pPr>
        <w:jc w:val="both"/>
      </w:pPr>
      <w:r>
        <w:t xml:space="preserve">For any comment, question or reply to the questionnaire please contact </w:t>
      </w:r>
      <w:r w:rsidRPr="00AD1809">
        <w:rPr>
          <w:b/>
        </w:rPr>
        <w:t>Mr. Forhadul</w:t>
      </w:r>
      <w:r>
        <w:rPr>
          <w:b/>
        </w:rPr>
        <w:t xml:space="preserve"> Parvez, Programme Officer, APT</w:t>
      </w:r>
      <w:r>
        <w:t xml:space="preserve"> (Email: </w:t>
      </w:r>
      <w:hyperlink r:id="rId10" w:history="1">
        <w:r w:rsidRPr="000A4299">
          <w:rPr>
            <w:rStyle w:val="Hyperlink"/>
          </w:rPr>
          <w:t>parvez@apt.int</w:t>
        </w:r>
      </w:hyperlink>
      <w:r>
        <w:t xml:space="preserve">; </w:t>
      </w:r>
      <w:hyperlink r:id="rId11" w:history="1">
        <w:r w:rsidRPr="000A4299">
          <w:rPr>
            <w:rStyle w:val="Hyperlink"/>
          </w:rPr>
          <w:t>aptawg@apt.int</w:t>
        </w:r>
      </w:hyperlink>
      <w:r w:rsidRPr="00AD1809">
        <w:t>)</w:t>
      </w:r>
      <w:r>
        <w:t xml:space="preserve">. </w:t>
      </w:r>
    </w:p>
    <w:p w:rsidR="004540C9" w:rsidRDefault="004540C9" w:rsidP="004540C9">
      <w:pPr>
        <w:spacing w:before="120"/>
        <w:jc w:val="both"/>
      </w:pPr>
    </w:p>
    <w:p w:rsidR="004540C9" w:rsidRDefault="004540C9" w:rsidP="004540C9">
      <w:pPr>
        <w:spacing w:before="120"/>
        <w:jc w:val="both"/>
      </w:pPr>
      <w:r>
        <w:t xml:space="preserve">   </w:t>
      </w:r>
    </w:p>
    <w:p w:rsidR="004540C9" w:rsidRPr="008133E2" w:rsidRDefault="004540C9" w:rsidP="004540C9">
      <w:pPr>
        <w:spacing w:before="120"/>
        <w:jc w:val="both"/>
      </w:pPr>
    </w:p>
    <w:p w:rsidR="004540C9" w:rsidRDefault="004540C9" w:rsidP="004540C9">
      <w:pPr>
        <w:spacing w:before="120"/>
        <w:jc w:val="center"/>
        <w:rPr>
          <w:b/>
        </w:rPr>
      </w:pPr>
      <w:r w:rsidRPr="008133E2">
        <w:rPr>
          <w:b/>
        </w:rPr>
        <w:t>Questionnaire Part</w:t>
      </w:r>
    </w:p>
    <w:p w:rsidR="008133E2" w:rsidRPr="008133E2" w:rsidRDefault="008133E2" w:rsidP="004540C9">
      <w:pPr>
        <w:spacing w:before="120"/>
        <w:jc w:val="center"/>
      </w:pPr>
    </w:p>
    <w:tbl>
      <w:tblPr>
        <w:tblStyle w:val="TableGrid"/>
        <w:tblW w:w="0" w:type="auto"/>
        <w:tblLook w:val="04A0" w:firstRow="1" w:lastRow="0" w:firstColumn="1" w:lastColumn="0" w:noHBand="0" w:noVBand="1"/>
      </w:tblPr>
      <w:tblGrid>
        <w:gridCol w:w="3049"/>
        <w:gridCol w:w="6258"/>
      </w:tblGrid>
      <w:tr w:rsidR="004540C9" w:rsidRPr="008133E2" w:rsidTr="006A21A9">
        <w:tc>
          <w:tcPr>
            <w:tcW w:w="3055" w:type="dxa"/>
          </w:tcPr>
          <w:p w:rsidR="004540C9" w:rsidRPr="008133E2" w:rsidRDefault="004540C9" w:rsidP="006A21A9">
            <w:pPr>
              <w:spacing w:before="120"/>
              <w:rPr>
                <w:rFonts w:ascii="Times New Roman" w:hAnsi="Times New Roman"/>
                <w:b/>
              </w:rPr>
            </w:pPr>
            <w:r w:rsidRPr="008133E2">
              <w:rPr>
                <w:rFonts w:ascii="Times New Roman" w:hAnsi="Times New Roman"/>
                <w:b/>
              </w:rPr>
              <w:t>Name of the APT Member/Associate Member:</w:t>
            </w:r>
          </w:p>
        </w:tc>
        <w:tc>
          <w:tcPr>
            <w:tcW w:w="6295" w:type="dxa"/>
          </w:tcPr>
          <w:p w:rsidR="004540C9" w:rsidRPr="008133E2" w:rsidRDefault="004540C9" w:rsidP="006A21A9">
            <w:pPr>
              <w:spacing w:before="120"/>
              <w:jc w:val="both"/>
              <w:rPr>
                <w:rFonts w:ascii="Times New Roman" w:hAnsi="Times New Roman"/>
              </w:rPr>
            </w:pPr>
          </w:p>
        </w:tc>
      </w:tr>
      <w:tr w:rsidR="004540C9" w:rsidRPr="008133E2" w:rsidTr="006A21A9">
        <w:tc>
          <w:tcPr>
            <w:tcW w:w="3055" w:type="dxa"/>
          </w:tcPr>
          <w:p w:rsidR="004540C9" w:rsidRPr="008133E2" w:rsidRDefault="004540C9" w:rsidP="006A21A9">
            <w:pPr>
              <w:spacing w:before="120"/>
              <w:jc w:val="both"/>
              <w:rPr>
                <w:rFonts w:ascii="Times New Roman" w:hAnsi="Times New Roman"/>
                <w:b/>
              </w:rPr>
            </w:pPr>
            <w:r w:rsidRPr="008133E2">
              <w:rPr>
                <w:rFonts w:ascii="Times New Roman" w:hAnsi="Times New Roman"/>
                <w:b/>
              </w:rPr>
              <w:t>Name of the organization:</w:t>
            </w:r>
          </w:p>
        </w:tc>
        <w:tc>
          <w:tcPr>
            <w:tcW w:w="6295" w:type="dxa"/>
          </w:tcPr>
          <w:p w:rsidR="004540C9" w:rsidRPr="008133E2" w:rsidRDefault="004540C9" w:rsidP="006A21A9">
            <w:pPr>
              <w:spacing w:before="120"/>
              <w:jc w:val="both"/>
              <w:rPr>
                <w:rFonts w:ascii="Times New Roman" w:hAnsi="Times New Roman"/>
              </w:rPr>
            </w:pPr>
          </w:p>
        </w:tc>
      </w:tr>
      <w:tr w:rsidR="004540C9" w:rsidRPr="008133E2" w:rsidTr="006A21A9">
        <w:tc>
          <w:tcPr>
            <w:tcW w:w="3055" w:type="dxa"/>
          </w:tcPr>
          <w:p w:rsidR="004540C9" w:rsidRPr="008133E2" w:rsidRDefault="004540C9" w:rsidP="006A21A9">
            <w:pPr>
              <w:spacing w:before="120"/>
              <w:rPr>
                <w:rFonts w:ascii="Times New Roman" w:hAnsi="Times New Roman"/>
                <w:b/>
              </w:rPr>
            </w:pPr>
            <w:r w:rsidRPr="008133E2">
              <w:rPr>
                <w:rFonts w:ascii="Times New Roman" w:hAnsi="Times New Roman"/>
                <w:b/>
              </w:rPr>
              <w:t xml:space="preserve">Name &amp; designation of contact person: </w:t>
            </w:r>
          </w:p>
        </w:tc>
        <w:tc>
          <w:tcPr>
            <w:tcW w:w="6295" w:type="dxa"/>
          </w:tcPr>
          <w:p w:rsidR="004540C9" w:rsidRPr="008133E2" w:rsidRDefault="004540C9" w:rsidP="006A21A9">
            <w:pPr>
              <w:spacing w:before="120"/>
              <w:jc w:val="both"/>
              <w:rPr>
                <w:rFonts w:ascii="Times New Roman" w:hAnsi="Times New Roman"/>
              </w:rPr>
            </w:pPr>
          </w:p>
        </w:tc>
      </w:tr>
      <w:tr w:rsidR="004540C9" w:rsidRPr="008133E2" w:rsidTr="006A21A9">
        <w:tc>
          <w:tcPr>
            <w:tcW w:w="3055" w:type="dxa"/>
          </w:tcPr>
          <w:p w:rsidR="004540C9" w:rsidRPr="008133E2" w:rsidRDefault="004540C9" w:rsidP="006A21A9">
            <w:pPr>
              <w:spacing w:before="120"/>
              <w:jc w:val="both"/>
              <w:rPr>
                <w:rFonts w:ascii="Times New Roman" w:hAnsi="Times New Roman"/>
                <w:b/>
              </w:rPr>
            </w:pPr>
            <w:r w:rsidRPr="008133E2">
              <w:rPr>
                <w:rFonts w:ascii="Times New Roman" w:hAnsi="Times New Roman"/>
                <w:b/>
              </w:rPr>
              <w:t>Contact Email:</w:t>
            </w:r>
          </w:p>
        </w:tc>
        <w:tc>
          <w:tcPr>
            <w:tcW w:w="6295" w:type="dxa"/>
          </w:tcPr>
          <w:p w:rsidR="004540C9" w:rsidRPr="008133E2" w:rsidRDefault="004540C9" w:rsidP="006A21A9">
            <w:pPr>
              <w:spacing w:before="120"/>
              <w:jc w:val="both"/>
              <w:rPr>
                <w:rFonts w:ascii="Times New Roman" w:hAnsi="Times New Roman"/>
              </w:rPr>
            </w:pPr>
          </w:p>
        </w:tc>
      </w:tr>
    </w:tbl>
    <w:p w:rsidR="004540C9" w:rsidRDefault="004540C9" w:rsidP="004540C9">
      <w:pPr>
        <w:jc w:val="both"/>
        <w:rPr>
          <w:b/>
        </w:rPr>
      </w:pPr>
    </w:p>
    <w:p w:rsidR="004540C9" w:rsidRDefault="004540C9" w:rsidP="004540C9">
      <w:pPr>
        <w:jc w:val="both"/>
        <w:rPr>
          <w:b/>
        </w:rPr>
      </w:pPr>
      <w:r>
        <w:rPr>
          <w:b/>
        </w:rPr>
        <w:t xml:space="preserve">Please answer the following questions. Please be informed that the replies to the questionnaire will be compiled into the report. If you have any concern regarding the publication of your replies into the Report please indicate here.   </w:t>
      </w:r>
    </w:p>
    <w:p w:rsidR="004540C9" w:rsidRDefault="004540C9" w:rsidP="004540C9">
      <w:pPr>
        <w:jc w:val="both"/>
      </w:pPr>
    </w:p>
    <w:p w:rsidR="004540C9" w:rsidRPr="00404130" w:rsidRDefault="004540C9" w:rsidP="004540C9">
      <w:pPr>
        <w:spacing w:before="120"/>
        <w:jc w:val="center"/>
        <w:rPr>
          <w:b/>
          <w:color w:val="FF0000"/>
        </w:rPr>
      </w:pPr>
      <w:r w:rsidRPr="00404130">
        <w:rPr>
          <w:b/>
          <w:color w:val="FF0000"/>
        </w:rPr>
        <w:t xml:space="preserve">Note 1: Question </w:t>
      </w:r>
      <w:r>
        <w:rPr>
          <w:b/>
          <w:color w:val="FF0000"/>
        </w:rPr>
        <w:t>1 to 4</w:t>
      </w:r>
      <w:r w:rsidRPr="00404130">
        <w:rPr>
          <w:b/>
          <w:color w:val="FF0000"/>
        </w:rPr>
        <w:t xml:space="preserve"> are related to the allocation and adoption of APT700</w:t>
      </w:r>
    </w:p>
    <w:p w:rsidR="008133E2" w:rsidRDefault="008133E2" w:rsidP="004540C9">
      <w:pPr>
        <w:jc w:val="both"/>
        <w:rPr>
          <w:b/>
        </w:rPr>
      </w:pPr>
    </w:p>
    <w:p w:rsidR="004540C9" w:rsidRPr="00C01865" w:rsidRDefault="004540C9" w:rsidP="004540C9">
      <w:pPr>
        <w:jc w:val="both"/>
        <w:rPr>
          <w:b/>
        </w:rPr>
      </w:pPr>
      <w:r>
        <w:rPr>
          <w:b/>
        </w:rPr>
        <w:t>Question 1</w:t>
      </w:r>
      <w:r w:rsidRPr="00C01865">
        <w:rPr>
          <w:b/>
        </w:rPr>
        <w:t>:</w:t>
      </w:r>
    </w:p>
    <w:p w:rsidR="004540C9" w:rsidRDefault="004540C9" w:rsidP="004540C9">
      <w:pPr>
        <w:jc w:val="both"/>
      </w:pPr>
      <w:r>
        <w:t>Following the decision at WRC-15, whether the frequency band 698-806 MHz or portion of this band has been identified</w:t>
      </w:r>
      <w:r w:rsidR="00295B04">
        <w:t xml:space="preserve"> in your National Frequency plans</w:t>
      </w:r>
      <w:r>
        <w:t xml:space="preserve"> for implementation of IMT</w:t>
      </w:r>
      <w:r w:rsidR="00295B04">
        <w:t>?</w:t>
      </w:r>
      <w:r>
        <w:t xml:space="preserve">? If ‘Yes’ please indicate in what ways it has been incorporated (such </w:t>
      </w:r>
      <w:proofErr w:type="gramStart"/>
      <w:r>
        <w:t>as  amending</w:t>
      </w:r>
      <w:proofErr w:type="gramEnd"/>
      <w:r>
        <w:t xml:space="preserve"> NTFA</w:t>
      </w:r>
      <w:r w:rsidR="003B6EF9">
        <w:t>, Frequency Band plans</w:t>
      </w:r>
      <w:r>
        <w:t xml:space="preserve"> or by notification or  any other means)  </w:t>
      </w:r>
    </w:p>
    <w:p w:rsidR="004540C9" w:rsidRDefault="004540C9" w:rsidP="004540C9">
      <w:pPr>
        <w:spacing w:before="120"/>
        <w:jc w:val="both"/>
        <w:rPr>
          <w:b/>
        </w:rPr>
      </w:pPr>
      <w:r w:rsidRPr="00FD748F">
        <w:rPr>
          <w:b/>
        </w:rPr>
        <w:t>Ans:</w:t>
      </w:r>
    </w:p>
    <w:p w:rsidR="004540C9" w:rsidRDefault="004540C9" w:rsidP="004540C9">
      <w:pPr>
        <w:spacing w:before="120"/>
        <w:jc w:val="both"/>
        <w:rPr>
          <w:b/>
        </w:rPr>
      </w:pPr>
    </w:p>
    <w:p w:rsidR="004540C9" w:rsidRPr="00C01865" w:rsidRDefault="004540C9" w:rsidP="004540C9">
      <w:pPr>
        <w:jc w:val="both"/>
        <w:rPr>
          <w:b/>
        </w:rPr>
      </w:pPr>
      <w:r>
        <w:rPr>
          <w:b/>
        </w:rPr>
        <w:t>Question 2</w:t>
      </w:r>
      <w:r w:rsidRPr="00C01865">
        <w:rPr>
          <w:b/>
        </w:rPr>
        <w:t>:</w:t>
      </w:r>
    </w:p>
    <w:p w:rsidR="004540C9" w:rsidRDefault="004540C9" w:rsidP="004540C9">
      <w:pPr>
        <w:jc w:val="both"/>
      </w:pPr>
      <w:r>
        <w:t xml:space="preserve">If the answer is ‘No’ please indicate the reason in brief. In such case when do you plan to make such identification? </w:t>
      </w:r>
    </w:p>
    <w:p w:rsidR="004540C9" w:rsidRPr="00FD748F" w:rsidRDefault="004540C9" w:rsidP="004540C9">
      <w:pPr>
        <w:spacing w:before="120"/>
        <w:jc w:val="both"/>
        <w:rPr>
          <w:b/>
        </w:rPr>
      </w:pPr>
      <w:r w:rsidRPr="00FD748F">
        <w:rPr>
          <w:b/>
        </w:rPr>
        <w:t>Ans:</w:t>
      </w:r>
    </w:p>
    <w:p w:rsidR="004540C9" w:rsidRDefault="004540C9" w:rsidP="004540C9">
      <w:pPr>
        <w:spacing w:before="120"/>
        <w:jc w:val="both"/>
        <w:rPr>
          <w:b/>
        </w:rPr>
      </w:pPr>
    </w:p>
    <w:p w:rsidR="004540C9" w:rsidRPr="00C01865" w:rsidRDefault="004540C9" w:rsidP="004540C9">
      <w:pPr>
        <w:jc w:val="both"/>
        <w:rPr>
          <w:b/>
        </w:rPr>
      </w:pPr>
      <w:r>
        <w:rPr>
          <w:b/>
        </w:rPr>
        <w:t>Question 3</w:t>
      </w:r>
      <w:r w:rsidRPr="00C01865">
        <w:rPr>
          <w:b/>
        </w:rPr>
        <w:t>:</w:t>
      </w:r>
    </w:p>
    <w:p w:rsidR="004540C9" w:rsidRDefault="004540C9" w:rsidP="004540C9">
      <w:pPr>
        <w:jc w:val="both"/>
      </w:pPr>
      <w:r>
        <w:lastRenderedPageBreak/>
        <w:t>In case of deployment of IMT in 698-806 MHz, did you adopt APT700 band plan as attached in Annex 1 of APT Recommendation (</w:t>
      </w:r>
      <w:hyperlink r:id="rId12" w:history="1">
        <w:r w:rsidRPr="001866FA">
          <w:rPr>
            <w:rStyle w:val="Hyperlink"/>
            <w:sz w:val="21"/>
            <w:szCs w:val="21"/>
          </w:rPr>
          <w:t>No. APT/AWG/REC-08</w:t>
        </w:r>
      </w:hyperlink>
      <w:r>
        <w:rPr>
          <w:sz w:val="21"/>
          <w:szCs w:val="21"/>
        </w:rPr>
        <w:t>)</w:t>
      </w:r>
      <w:r>
        <w:t xml:space="preserve">? Please indicate level of adoption such as complete adoption or partial adoption in case of lower duplex or upper duplex of the plan. Please also indicate which mode (FDD or TDD) you have adopted for such implementation. </w:t>
      </w:r>
    </w:p>
    <w:p w:rsidR="004540C9" w:rsidRPr="00FD748F" w:rsidRDefault="004540C9" w:rsidP="004540C9">
      <w:pPr>
        <w:spacing w:before="120"/>
        <w:jc w:val="both"/>
        <w:rPr>
          <w:b/>
        </w:rPr>
      </w:pPr>
      <w:r w:rsidRPr="00FD748F">
        <w:rPr>
          <w:b/>
        </w:rPr>
        <w:t>Ans:</w:t>
      </w:r>
    </w:p>
    <w:p w:rsidR="004540C9" w:rsidRDefault="004540C9" w:rsidP="004540C9">
      <w:pPr>
        <w:spacing w:before="120"/>
        <w:jc w:val="both"/>
        <w:rPr>
          <w:b/>
        </w:rPr>
      </w:pPr>
    </w:p>
    <w:p w:rsidR="004540C9" w:rsidRPr="00C01865" w:rsidRDefault="004540C9" w:rsidP="004540C9">
      <w:pPr>
        <w:jc w:val="both"/>
        <w:rPr>
          <w:b/>
        </w:rPr>
      </w:pPr>
      <w:r>
        <w:rPr>
          <w:b/>
        </w:rPr>
        <w:t>Question 4</w:t>
      </w:r>
      <w:r w:rsidRPr="00C01865">
        <w:rPr>
          <w:b/>
        </w:rPr>
        <w:t>:</w:t>
      </w:r>
    </w:p>
    <w:p w:rsidR="004540C9" w:rsidRDefault="004540C9" w:rsidP="004540C9">
      <w:pPr>
        <w:jc w:val="both"/>
      </w:pPr>
      <w:r>
        <w:t xml:space="preserve">In case of deployment of IMT in 698-806 MHz, if you did not adopt APT700 band plan yet, is there any plan for such adoption in near future? Please indicate possible time frame for such adoption. Please also explain the reason for such delay in adoption.  </w:t>
      </w:r>
    </w:p>
    <w:p w:rsidR="004540C9" w:rsidRDefault="004540C9" w:rsidP="004540C9">
      <w:pPr>
        <w:spacing w:before="120"/>
        <w:jc w:val="both"/>
        <w:rPr>
          <w:b/>
        </w:rPr>
      </w:pPr>
      <w:r w:rsidRPr="00FD748F">
        <w:rPr>
          <w:b/>
        </w:rPr>
        <w:t>Ans:</w:t>
      </w:r>
    </w:p>
    <w:p w:rsidR="004540C9" w:rsidRDefault="004540C9" w:rsidP="004540C9">
      <w:pPr>
        <w:spacing w:before="120"/>
        <w:jc w:val="both"/>
        <w:rPr>
          <w:b/>
        </w:rPr>
      </w:pPr>
    </w:p>
    <w:p w:rsidR="004540C9" w:rsidRPr="00404130" w:rsidRDefault="004540C9" w:rsidP="004540C9">
      <w:pPr>
        <w:spacing w:before="120"/>
        <w:jc w:val="center"/>
        <w:rPr>
          <w:b/>
          <w:color w:val="FF0000"/>
        </w:rPr>
      </w:pPr>
      <w:r w:rsidRPr="00404130">
        <w:rPr>
          <w:b/>
          <w:color w:val="FF0000"/>
        </w:rPr>
        <w:t>Note 2</w:t>
      </w:r>
      <w:r>
        <w:rPr>
          <w:b/>
          <w:color w:val="FF0000"/>
        </w:rPr>
        <w:t>: Question 5 to 8</w:t>
      </w:r>
      <w:r w:rsidR="00EE7DA0">
        <w:rPr>
          <w:b/>
          <w:color w:val="FF0000"/>
        </w:rPr>
        <w:t xml:space="preserve"> are related to the impleme</w:t>
      </w:r>
      <w:r w:rsidRPr="00404130">
        <w:rPr>
          <w:b/>
          <w:color w:val="FF0000"/>
        </w:rPr>
        <w:t>ntation issues of APT700</w:t>
      </w:r>
    </w:p>
    <w:p w:rsidR="008133E2" w:rsidRDefault="008133E2" w:rsidP="004540C9">
      <w:pPr>
        <w:jc w:val="both"/>
        <w:rPr>
          <w:b/>
        </w:rPr>
      </w:pPr>
    </w:p>
    <w:p w:rsidR="004540C9" w:rsidRPr="00C01865" w:rsidRDefault="004540C9" w:rsidP="004540C9">
      <w:pPr>
        <w:jc w:val="both"/>
        <w:rPr>
          <w:b/>
        </w:rPr>
      </w:pPr>
      <w:r>
        <w:rPr>
          <w:b/>
        </w:rPr>
        <w:t>Question 5</w:t>
      </w:r>
      <w:r w:rsidRPr="00C01865">
        <w:rPr>
          <w:b/>
        </w:rPr>
        <w:t>:</w:t>
      </w:r>
    </w:p>
    <w:p w:rsidR="004540C9" w:rsidRDefault="004540C9" w:rsidP="004540C9">
      <w:pPr>
        <w:jc w:val="both"/>
        <w:rPr>
          <w:sz w:val="21"/>
          <w:szCs w:val="21"/>
        </w:rPr>
      </w:pPr>
      <w:r>
        <w:t xml:space="preserve">While implementing the APT700 band plan, did </w:t>
      </w:r>
      <w:r w:rsidR="00EE7DA0">
        <w:t>you take into account the implemen</w:t>
      </w:r>
      <w:r>
        <w:t>tation aspects as detailed in Annex 2 of APT Recommendation (</w:t>
      </w:r>
      <w:hyperlink r:id="rId13" w:history="1">
        <w:r w:rsidRPr="001866FA">
          <w:rPr>
            <w:rStyle w:val="Hyperlink"/>
            <w:sz w:val="21"/>
            <w:szCs w:val="21"/>
          </w:rPr>
          <w:t>No. APT/AWG/REC-08</w:t>
        </w:r>
      </w:hyperlink>
      <w:r>
        <w:rPr>
          <w:sz w:val="21"/>
          <w:szCs w:val="21"/>
        </w:rPr>
        <w:t>)</w:t>
      </w:r>
    </w:p>
    <w:p w:rsidR="004540C9" w:rsidRPr="00B74733" w:rsidRDefault="004540C9" w:rsidP="004540C9">
      <w:pPr>
        <w:jc w:val="both"/>
        <w:rPr>
          <w:b/>
          <w:sz w:val="21"/>
          <w:szCs w:val="21"/>
        </w:rPr>
      </w:pPr>
      <w:r w:rsidRPr="00B74733">
        <w:rPr>
          <w:b/>
          <w:sz w:val="21"/>
          <w:szCs w:val="21"/>
        </w:rPr>
        <w:t>Ans:</w:t>
      </w:r>
    </w:p>
    <w:p w:rsidR="004540C9" w:rsidRDefault="004540C9" w:rsidP="004540C9">
      <w:pPr>
        <w:jc w:val="both"/>
        <w:rPr>
          <w:sz w:val="21"/>
          <w:szCs w:val="21"/>
        </w:rPr>
      </w:pPr>
    </w:p>
    <w:p w:rsidR="004540C9" w:rsidRDefault="004540C9" w:rsidP="004540C9">
      <w:pPr>
        <w:jc w:val="both"/>
        <w:rPr>
          <w:b/>
        </w:rPr>
      </w:pPr>
    </w:p>
    <w:p w:rsidR="004540C9" w:rsidRPr="00C01865" w:rsidRDefault="004540C9" w:rsidP="004540C9">
      <w:pPr>
        <w:jc w:val="both"/>
        <w:rPr>
          <w:b/>
        </w:rPr>
      </w:pPr>
      <w:r>
        <w:rPr>
          <w:b/>
        </w:rPr>
        <w:t>Question 6</w:t>
      </w:r>
      <w:r w:rsidRPr="00C01865">
        <w:rPr>
          <w:b/>
        </w:rPr>
        <w:t>:</w:t>
      </w:r>
    </w:p>
    <w:p w:rsidR="004540C9" w:rsidRDefault="004540C9" w:rsidP="004540C9">
      <w:pPr>
        <w:jc w:val="both"/>
      </w:pPr>
      <w:r>
        <w:t xml:space="preserve">Did you coordinate with neighboring countries to avoid the risk of interference between Broadcasting and IMT use in this band? Please provide details. </w:t>
      </w:r>
    </w:p>
    <w:p w:rsidR="004540C9" w:rsidRDefault="004540C9" w:rsidP="004540C9">
      <w:pPr>
        <w:jc w:val="both"/>
        <w:rPr>
          <w:sz w:val="21"/>
          <w:szCs w:val="21"/>
        </w:rPr>
      </w:pPr>
      <w:r>
        <w:t xml:space="preserve"> </w:t>
      </w:r>
    </w:p>
    <w:p w:rsidR="004540C9" w:rsidRDefault="004540C9" w:rsidP="004540C9">
      <w:pPr>
        <w:jc w:val="both"/>
      </w:pPr>
      <w:r w:rsidRPr="00B74733">
        <w:rPr>
          <w:b/>
          <w:sz w:val="21"/>
          <w:szCs w:val="21"/>
        </w:rPr>
        <w:t>Ans:</w:t>
      </w:r>
    </w:p>
    <w:p w:rsidR="004540C9" w:rsidRDefault="004540C9" w:rsidP="004540C9">
      <w:pPr>
        <w:jc w:val="both"/>
        <w:rPr>
          <w:b/>
        </w:rPr>
      </w:pPr>
    </w:p>
    <w:p w:rsidR="004540C9" w:rsidRPr="00C01865" w:rsidRDefault="004540C9" w:rsidP="004540C9">
      <w:pPr>
        <w:jc w:val="both"/>
        <w:rPr>
          <w:b/>
        </w:rPr>
      </w:pPr>
      <w:r>
        <w:rPr>
          <w:b/>
        </w:rPr>
        <w:t>Question 7</w:t>
      </w:r>
      <w:r w:rsidRPr="00C01865">
        <w:rPr>
          <w:b/>
        </w:rPr>
        <w:t>:</w:t>
      </w:r>
    </w:p>
    <w:p w:rsidR="004540C9" w:rsidRDefault="004540C9" w:rsidP="004540C9">
      <w:pPr>
        <w:jc w:val="both"/>
      </w:pPr>
      <w:r>
        <w:t xml:space="preserve">Did you coordinate the use of duplex scheme (FDD and TDD) to minimize interference between neighboring countries?  </w:t>
      </w:r>
    </w:p>
    <w:p w:rsidR="004540C9" w:rsidRDefault="004540C9" w:rsidP="004540C9">
      <w:pPr>
        <w:jc w:val="both"/>
        <w:rPr>
          <w:sz w:val="21"/>
          <w:szCs w:val="21"/>
        </w:rPr>
      </w:pPr>
      <w:r>
        <w:t xml:space="preserve"> </w:t>
      </w:r>
    </w:p>
    <w:p w:rsidR="004540C9" w:rsidRDefault="004540C9" w:rsidP="004540C9">
      <w:pPr>
        <w:jc w:val="both"/>
      </w:pPr>
      <w:r w:rsidRPr="00B74733">
        <w:rPr>
          <w:b/>
          <w:sz w:val="21"/>
          <w:szCs w:val="21"/>
        </w:rPr>
        <w:t>Ans:</w:t>
      </w:r>
    </w:p>
    <w:p w:rsidR="004540C9" w:rsidRDefault="004540C9" w:rsidP="004540C9">
      <w:pPr>
        <w:jc w:val="both"/>
        <w:rPr>
          <w:b/>
        </w:rPr>
      </w:pPr>
    </w:p>
    <w:p w:rsidR="004540C9" w:rsidRPr="00C01865" w:rsidRDefault="004540C9" w:rsidP="004540C9">
      <w:pPr>
        <w:jc w:val="both"/>
        <w:rPr>
          <w:b/>
        </w:rPr>
      </w:pPr>
      <w:r>
        <w:rPr>
          <w:b/>
        </w:rPr>
        <w:t>Question 8</w:t>
      </w:r>
      <w:r w:rsidRPr="00C01865">
        <w:rPr>
          <w:b/>
        </w:rPr>
        <w:t>:</w:t>
      </w:r>
    </w:p>
    <w:p w:rsidR="004540C9" w:rsidRDefault="004540C9" w:rsidP="004540C9">
      <w:pPr>
        <w:jc w:val="both"/>
      </w:pPr>
      <w:r>
        <w:t xml:space="preserve">Did you take necessary steps to avoid both duplex schemes (FDD and TDD) in your country?  </w:t>
      </w:r>
    </w:p>
    <w:p w:rsidR="004540C9" w:rsidRDefault="004540C9" w:rsidP="004540C9">
      <w:pPr>
        <w:jc w:val="both"/>
        <w:rPr>
          <w:sz w:val="21"/>
          <w:szCs w:val="21"/>
        </w:rPr>
      </w:pPr>
      <w:r>
        <w:t xml:space="preserve"> </w:t>
      </w:r>
    </w:p>
    <w:p w:rsidR="004540C9" w:rsidRDefault="004540C9" w:rsidP="004540C9">
      <w:pPr>
        <w:jc w:val="both"/>
      </w:pPr>
      <w:r w:rsidRPr="00B74733">
        <w:rPr>
          <w:b/>
          <w:sz w:val="21"/>
          <w:szCs w:val="21"/>
        </w:rPr>
        <w:t>Ans:</w:t>
      </w:r>
    </w:p>
    <w:p w:rsidR="004540C9" w:rsidRDefault="004540C9" w:rsidP="004540C9">
      <w:pPr>
        <w:jc w:val="both"/>
        <w:rPr>
          <w:b/>
        </w:rPr>
      </w:pPr>
    </w:p>
    <w:p w:rsidR="004540C9" w:rsidRDefault="004540C9" w:rsidP="004540C9">
      <w:pPr>
        <w:jc w:val="both"/>
        <w:rPr>
          <w:b/>
        </w:rPr>
      </w:pPr>
    </w:p>
    <w:p w:rsidR="004540C9" w:rsidRPr="00404130" w:rsidRDefault="004540C9" w:rsidP="004540C9">
      <w:pPr>
        <w:spacing w:before="120"/>
        <w:jc w:val="center"/>
        <w:rPr>
          <w:b/>
          <w:color w:val="FF0000"/>
        </w:rPr>
      </w:pPr>
      <w:r w:rsidRPr="00404130">
        <w:rPr>
          <w:b/>
          <w:color w:val="FF0000"/>
        </w:rPr>
        <w:t xml:space="preserve">Note 3: Question </w:t>
      </w:r>
      <w:r>
        <w:rPr>
          <w:b/>
          <w:color w:val="FF0000"/>
        </w:rPr>
        <w:t xml:space="preserve">9 to 11 </w:t>
      </w:r>
      <w:r w:rsidRPr="00404130">
        <w:rPr>
          <w:b/>
          <w:color w:val="FF0000"/>
        </w:rPr>
        <w:t>are related to the commercial deployment of APT700</w:t>
      </w:r>
    </w:p>
    <w:p w:rsidR="00D43970" w:rsidRDefault="00D43970" w:rsidP="004540C9">
      <w:pPr>
        <w:jc w:val="both"/>
        <w:rPr>
          <w:b/>
        </w:rPr>
      </w:pPr>
    </w:p>
    <w:p w:rsidR="004540C9" w:rsidRPr="00C01865" w:rsidRDefault="004540C9" w:rsidP="004540C9">
      <w:pPr>
        <w:jc w:val="both"/>
        <w:rPr>
          <w:b/>
        </w:rPr>
      </w:pPr>
      <w:r>
        <w:rPr>
          <w:b/>
        </w:rPr>
        <w:t>Question 9</w:t>
      </w:r>
      <w:r w:rsidRPr="00C01865">
        <w:rPr>
          <w:b/>
        </w:rPr>
        <w:t>:</w:t>
      </w:r>
    </w:p>
    <w:p w:rsidR="004540C9" w:rsidRDefault="004540C9" w:rsidP="004540C9">
      <w:pPr>
        <w:jc w:val="both"/>
      </w:pPr>
      <w:r>
        <w:t xml:space="preserve">Whether you have already assigned the band to commercial operators? If ‘Yes’ provide details in the following table </w:t>
      </w:r>
    </w:p>
    <w:p w:rsidR="004540C9" w:rsidRDefault="004540C9" w:rsidP="004540C9">
      <w:pPr>
        <w:jc w:val="both"/>
        <w:rPr>
          <w:b/>
        </w:rPr>
      </w:pPr>
    </w:p>
    <w:p w:rsidR="004540C9" w:rsidRPr="00B74733" w:rsidRDefault="004540C9" w:rsidP="004540C9">
      <w:pPr>
        <w:jc w:val="both"/>
        <w:rPr>
          <w:b/>
        </w:rPr>
      </w:pPr>
      <w:r w:rsidRPr="00B74733">
        <w:rPr>
          <w:b/>
        </w:rPr>
        <w:t>Ans:</w:t>
      </w:r>
    </w:p>
    <w:tbl>
      <w:tblPr>
        <w:tblpPr w:leftFromText="180" w:rightFromText="180" w:vertAnchor="text" w:horzAnchor="margin" w:tblpXSpec="center" w:tblpY="44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701"/>
        <w:gridCol w:w="1417"/>
        <w:gridCol w:w="1418"/>
        <w:gridCol w:w="1418"/>
      </w:tblGrid>
      <w:tr w:rsidR="004540C9" w:rsidRPr="00D6004B" w:rsidTr="006A21A9">
        <w:trPr>
          <w:trHeight w:val="375"/>
        </w:trPr>
        <w:tc>
          <w:tcPr>
            <w:tcW w:w="3402" w:type="dxa"/>
            <w:gridSpan w:val="2"/>
            <w:shd w:val="clear" w:color="auto" w:fill="FFCC99"/>
            <w:vAlign w:val="center"/>
          </w:tcPr>
          <w:p w:rsidR="004540C9" w:rsidRPr="00DA5446" w:rsidRDefault="004540C9" w:rsidP="006A21A9">
            <w:pPr>
              <w:jc w:val="center"/>
              <w:rPr>
                <w:rFonts w:eastAsia="MS Mincho"/>
                <w:b/>
                <w:bCs/>
                <w:lang w:eastAsia="ja-JP"/>
              </w:rPr>
            </w:pPr>
            <w:r w:rsidRPr="0003454E">
              <w:rPr>
                <w:b/>
                <w:bCs/>
                <w:lang w:eastAsia="zh-CN"/>
              </w:rPr>
              <w:t>Frequency</w:t>
            </w:r>
            <w:r w:rsidRPr="0003454E">
              <w:rPr>
                <w:b/>
                <w:bCs/>
              </w:rPr>
              <w:t xml:space="preserve"> </w:t>
            </w:r>
            <w:r w:rsidRPr="0003454E">
              <w:rPr>
                <w:b/>
                <w:bCs/>
                <w:lang w:eastAsia="zh-CN"/>
              </w:rPr>
              <w:t>B</w:t>
            </w:r>
            <w:r>
              <w:rPr>
                <w:b/>
                <w:bCs/>
                <w:lang w:eastAsia="zh-CN"/>
              </w:rPr>
              <w:t>lock</w:t>
            </w:r>
            <w:r w:rsidRPr="0003454E">
              <w:rPr>
                <w:b/>
                <w:bCs/>
              </w:rPr>
              <w:t xml:space="preserve"> (</w:t>
            </w:r>
            <w:r w:rsidRPr="0003454E">
              <w:rPr>
                <w:b/>
                <w:bCs/>
                <w:lang w:eastAsia="zh-CN"/>
              </w:rPr>
              <w:t>MHz</w:t>
            </w:r>
            <w:r w:rsidRPr="0003454E">
              <w:rPr>
                <w:b/>
                <w:bCs/>
              </w:rPr>
              <w:t>)</w:t>
            </w:r>
          </w:p>
        </w:tc>
        <w:tc>
          <w:tcPr>
            <w:tcW w:w="1701" w:type="dxa"/>
            <w:vMerge w:val="restart"/>
            <w:shd w:val="clear" w:color="auto" w:fill="FFCC99"/>
          </w:tcPr>
          <w:p w:rsidR="004540C9" w:rsidRDefault="004540C9" w:rsidP="006A21A9">
            <w:pPr>
              <w:jc w:val="center"/>
              <w:rPr>
                <w:b/>
                <w:bCs/>
                <w:lang w:eastAsia="zh-CN"/>
              </w:rPr>
            </w:pPr>
            <w:r>
              <w:rPr>
                <w:b/>
                <w:bCs/>
                <w:lang w:eastAsia="zh-CN"/>
              </w:rPr>
              <w:t>Operator</w:t>
            </w:r>
          </w:p>
        </w:tc>
        <w:tc>
          <w:tcPr>
            <w:tcW w:w="1417" w:type="dxa"/>
            <w:vMerge w:val="restart"/>
            <w:shd w:val="clear" w:color="auto" w:fill="FFCC99"/>
            <w:vAlign w:val="center"/>
          </w:tcPr>
          <w:p w:rsidR="004540C9" w:rsidRPr="0003454E" w:rsidRDefault="004540C9" w:rsidP="006A21A9">
            <w:pPr>
              <w:jc w:val="center"/>
              <w:rPr>
                <w:rFonts w:eastAsia="MS Mincho"/>
                <w:b/>
                <w:bCs/>
                <w:lang w:eastAsia="ja-JP"/>
              </w:rPr>
            </w:pPr>
            <w:r>
              <w:rPr>
                <w:b/>
                <w:bCs/>
                <w:lang w:eastAsia="zh-CN"/>
              </w:rPr>
              <w:t xml:space="preserve">IMT </w:t>
            </w:r>
            <w:r w:rsidRPr="0003454E">
              <w:rPr>
                <w:b/>
                <w:bCs/>
                <w:lang w:eastAsia="zh-CN"/>
              </w:rPr>
              <w:t>Technology</w:t>
            </w:r>
          </w:p>
        </w:tc>
        <w:tc>
          <w:tcPr>
            <w:tcW w:w="1418" w:type="dxa"/>
            <w:vMerge w:val="restart"/>
            <w:shd w:val="clear" w:color="auto" w:fill="FFCC99"/>
            <w:vAlign w:val="center"/>
          </w:tcPr>
          <w:p w:rsidR="004540C9" w:rsidRDefault="004540C9" w:rsidP="006A21A9">
            <w:pPr>
              <w:jc w:val="center"/>
              <w:rPr>
                <w:b/>
                <w:bCs/>
                <w:lang w:eastAsia="zh-CN"/>
              </w:rPr>
            </w:pPr>
            <w:r>
              <w:rPr>
                <w:b/>
                <w:bCs/>
                <w:lang w:eastAsia="zh-CN"/>
              </w:rPr>
              <w:t>Channel bandwidth (MHz)</w:t>
            </w:r>
          </w:p>
        </w:tc>
        <w:tc>
          <w:tcPr>
            <w:tcW w:w="1418" w:type="dxa"/>
            <w:vMerge w:val="restart"/>
            <w:shd w:val="clear" w:color="auto" w:fill="FFCC99"/>
          </w:tcPr>
          <w:p w:rsidR="004540C9" w:rsidRDefault="004540C9" w:rsidP="006A21A9">
            <w:pPr>
              <w:jc w:val="center"/>
              <w:rPr>
                <w:b/>
                <w:bCs/>
                <w:lang w:eastAsia="zh-CN"/>
              </w:rPr>
            </w:pPr>
            <w:r>
              <w:rPr>
                <w:b/>
                <w:bCs/>
                <w:lang w:eastAsia="zh-CN"/>
              </w:rPr>
              <w:t>License duration (Years)</w:t>
            </w:r>
          </w:p>
        </w:tc>
      </w:tr>
      <w:tr w:rsidR="004540C9" w:rsidRPr="00D6004B" w:rsidTr="006A21A9">
        <w:trPr>
          <w:trHeight w:val="165"/>
        </w:trPr>
        <w:tc>
          <w:tcPr>
            <w:tcW w:w="1701" w:type="dxa"/>
            <w:shd w:val="clear" w:color="auto" w:fill="FFCC99"/>
          </w:tcPr>
          <w:p w:rsidR="004540C9" w:rsidRPr="0003454E" w:rsidRDefault="004540C9" w:rsidP="006A21A9">
            <w:pPr>
              <w:jc w:val="center"/>
              <w:rPr>
                <w:b/>
                <w:bCs/>
              </w:rPr>
            </w:pPr>
            <w:r w:rsidRPr="0003454E">
              <w:rPr>
                <w:rFonts w:eastAsia="MS Mincho"/>
                <w:b/>
                <w:bCs/>
                <w:lang w:eastAsia="ja-JP"/>
              </w:rPr>
              <w:t>Uplink</w:t>
            </w:r>
          </w:p>
        </w:tc>
        <w:tc>
          <w:tcPr>
            <w:tcW w:w="1701" w:type="dxa"/>
            <w:shd w:val="clear" w:color="auto" w:fill="FFCC99"/>
          </w:tcPr>
          <w:p w:rsidR="004540C9" w:rsidRPr="0003454E" w:rsidRDefault="004540C9" w:rsidP="006A21A9">
            <w:pPr>
              <w:jc w:val="center"/>
              <w:rPr>
                <w:b/>
                <w:bCs/>
              </w:rPr>
            </w:pPr>
            <w:r w:rsidRPr="0003454E">
              <w:rPr>
                <w:rFonts w:eastAsia="MS Mincho"/>
                <w:b/>
                <w:bCs/>
                <w:lang w:eastAsia="ja-JP"/>
              </w:rPr>
              <w:t>Downlink</w:t>
            </w:r>
          </w:p>
        </w:tc>
        <w:tc>
          <w:tcPr>
            <w:tcW w:w="1701" w:type="dxa"/>
            <w:vMerge/>
          </w:tcPr>
          <w:p w:rsidR="004540C9" w:rsidRPr="00D6004B" w:rsidRDefault="004540C9" w:rsidP="006A21A9">
            <w:pPr>
              <w:rPr>
                <w:lang w:eastAsia="zh-CN"/>
              </w:rPr>
            </w:pPr>
          </w:p>
        </w:tc>
        <w:tc>
          <w:tcPr>
            <w:tcW w:w="1417" w:type="dxa"/>
            <w:vMerge/>
          </w:tcPr>
          <w:p w:rsidR="004540C9" w:rsidRPr="00D6004B" w:rsidRDefault="004540C9" w:rsidP="006A21A9">
            <w:pPr>
              <w:rPr>
                <w:lang w:eastAsia="zh-CN"/>
              </w:rPr>
            </w:pPr>
          </w:p>
        </w:tc>
        <w:tc>
          <w:tcPr>
            <w:tcW w:w="1418" w:type="dxa"/>
            <w:vMerge/>
          </w:tcPr>
          <w:p w:rsidR="004540C9" w:rsidRPr="00D6004B" w:rsidRDefault="004540C9" w:rsidP="006A21A9">
            <w:pPr>
              <w:rPr>
                <w:lang w:eastAsia="zh-CN"/>
              </w:rPr>
            </w:pPr>
          </w:p>
        </w:tc>
        <w:tc>
          <w:tcPr>
            <w:tcW w:w="1418" w:type="dxa"/>
            <w:vMerge/>
          </w:tcPr>
          <w:p w:rsidR="004540C9" w:rsidRPr="00D6004B" w:rsidRDefault="004540C9" w:rsidP="006A21A9">
            <w:pPr>
              <w:rPr>
                <w:lang w:eastAsia="zh-CN"/>
              </w:rPr>
            </w:pPr>
          </w:p>
        </w:tc>
      </w:tr>
      <w:tr w:rsidR="004540C9" w:rsidRPr="00D6004B" w:rsidTr="006A21A9">
        <w:trPr>
          <w:trHeight w:val="410"/>
        </w:trPr>
        <w:tc>
          <w:tcPr>
            <w:tcW w:w="1701" w:type="dxa"/>
            <w:vAlign w:val="center"/>
          </w:tcPr>
          <w:p w:rsidR="004540C9" w:rsidRPr="00481109" w:rsidRDefault="004540C9" w:rsidP="006A21A9">
            <w:pPr>
              <w:jc w:val="both"/>
              <w:rPr>
                <w:rFonts w:eastAsia="MS Mincho"/>
                <w:highlight w:val="yellow"/>
                <w:lang w:eastAsia="ja-JP"/>
              </w:rPr>
            </w:pPr>
          </w:p>
        </w:tc>
        <w:tc>
          <w:tcPr>
            <w:tcW w:w="1701" w:type="dxa"/>
            <w:vAlign w:val="center"/>
          </w:tcPr>
          <w:p w:rsidR="004540C9" w:rsidRPr="00481109" w:rsidRDefault="004540C9" w:rsidP="006A21A9">
            <w:pPr>
              <w:jc w:val="both"/>
              <w:rPr>
                <w:rFonts w:eastAsia="MS Mincho"/>
                <w:highlight w:val="yellow"/>
                <w:lang w:eastAsia="ja-JP"/>
              </w:rPr>
            </w:pPr>
          </w:p>
        </w:tc>
        <w:tc>
          <w:tcPr>
            <w:tcW w:w="1701" w:type="dxa"/>
            <w:vAlign w:val="center"/>
          </w:tcPr>
          <w:p w:rsidR="004540C9" w:rsidRPr="00481109" w:rsidRDefault="004540C9" w:rsidP="006A21A9">
            <w:pPr>
              <w:widowControl w:val="0"/>
              <w:jc w:val="both"/>
              <w:rPr>
                <w:highlight w:val="yellow"/>
              </w:rPr>
            </w:pPr>
          </w:p>
        </w:tc>
        <w:tc>
          <w:tcPr>
            <w:tcW w:w="1417" w:type="dxa"/>
            <w:vAlign w:val="center"/>
          </w:tcPr>
          <w:p w:rsidR="004540C9" w:rsidRPr="00481109" w:rsidRDefault="004540C9" w:rsidP="006A21A9">
            <w:pPr>
              <w:widowControl w:val="0"/>
              <w:jc w:val="both"/>
              <w:rPr>
                <w:highlight w:val="yellow"/>
              </w:rPr>
            </w:pPr>
          </w:p>
        </w:tc>
        <w:tc>
          <w:tcPr>
            <w:tcW w:w="1418" w:type="dxa"/>
            <w:vAlign w:val="center"/>
          </w:tcPr>
          <w:p w:rsidR="004540C9" w:rsidRPr="00481109" w:rsidRDefault="004540C9" w:rsidP="006A21A9">
            <w:pPr>
              <w:widowControl w:val="0"/>
              <w:jc w:val="both"/>
              <w:rPr>
                <w:highlight w:val="yellow"/>
              </w:rPr>
            </w:pPr>
          </w:p>
        </w:tc>
        <w:tc>
          <w:tcPr>
            <w:tcW w:w="1418" w:type="dxa"/>
          </w:tcPr>
          <w:p w:rsidR="004540C9" w:rsidRPr="00481109" w:rsidRDefault="004540C9" w:rsidP="006A21A9">
            <w:pPr>
              <w:widowControl w:val="0"/>
              <w:jc w:val="both"/>
              <w:rPr>
                <w:highlight w:val="yellow"/>
              </w:rPr>
            </w:pPr>
          </w:p>
        </w:tc>
      </w:tr>
      <w:tr w:rsidR="004540C9" w:rsidRPr="00D6004B" w:rsidTr="006A21A9">
        <w:trPr>
          <w:trHeight w:val="410"/>
        </w:trPr>
        <w:tc>
          <w:tcPr>
            <w:tcW w:w="1701" w:type="dxa"/>
            <w:vAlign w:val="center"/>
          </w:tcPr>
          <w:p w:rsidR="004540C9" w:rsidRPr="00481109" w:rsidRDefault="004540C9" w:rsidP="006A21A9">
            <w:pPr>
              <w:jc w:val="both"/>
              <w:rPr>
                <w:rFonts w:eastAsia="MS Mincho"/>
                <w:highlight w:val="yellow"/>
                <w:lang w:eastAsia="ja-JP"/>
              </w:rPr>
            </w:pPr>
          </w:p>
        </w:tc>
        <w:tc>
          <w:tcPr>
            <w:tcW w:w="1701" w:type="dxa"/>
            <w:vAlign w:val="center"/>
          </w:tcPr>
          <w:p w:rsidR="004540C9" w:rsidRPr="00481109" w:rsidRDefault="004540C9" w:rsidP="006A21A9">
            <w:pPr>
              <w:jc w:val="both"/>
              <w:rPr>
                <w:rFonts w:eastAsia="MS Mincho"/>
                <w:highlight w:val="yellow"/>
                <w:lang w:eastAsia="ja-JP"/>
              </w:rPr>
            </w:pPr>
          </w:p>
        </w:tc>
        <w:tc>
          <w:tcPr>
            <w:tcW w:w="1701" w:type="dxa"/>
          </w:tcPr>
          <w:p w:rsidR="004540C9" w:rsidRPr="00481109" w:rsidRDefault="004540C9" w:rsidP="006A21A9">
            <w:pPr>
              <w:widowControl w:val="0"/>
              <w:jc w:val="both"/>
              <w:rPr>
                <w:highlight w:val="yellow"/>
              </w:rPr>
            </w:pPr>
          </w:p>
        </w:tc>
        <w:tc>
          <w:tcPr>
            <w:tcW w:w="1417" w:type="dxa"/>
            <w:vAlign w:val="center"/>
          </w:tcPr>
          <w:p w:rsidR="004540C9" w:rsidRPr="00481109" w:rsidRDefault="004540C9" w:rsidP="006A21A9">
            <w:pPr>
              <w:widowControl w:val="0"/>
              <w:jc w:val="both"/>
              <w:rPr>
                <w:highlight w:val="yellow"/>
              </w:rPr>
            </w:pPr>
          </w:p>
        </w:tc>
        <w:tc>
          <w:tcPr>
            <w:tcW w:w="1418" w:type="dxa"/>
          </w:tcPr>
          <w:p w:rsidR="004540C9" w:rsidRPr="00481109" w:rsidRDefault="004540C9" w:rsidP="006A21A9">
            <w:pPr>
              <w:widowControl w:val="0"/>
              <w:jc w:val="both"/>
              <w:rPr>
                <w:highlight w:val="yellow"/>
              </w:rPr>
            </w:pPr>
          </w:p>
        </w:tc>
        <w:tc>
          <w:tcPr>
            <w:tcW w:w="1418" w:type="dxa"/>
          </w:tcPr>
          <w:p w:rsidR="004540C9" w:rsidRPr="00481109" w:rsidRDefault="004540C9" w:rsidP="006A21A9">
            <w:pPr>
              <w:widowControl w:val="0"/>
              <w:jc w:val="both"/>
              <w:rPr>
                <w:highlight w:val="yellow"/>
              </w:rPr>
            </w:pPr>
          </w:p>
        </w:tc>
      </w:tr>
      <w:tr w:rsidR="004540C9" w:rsidRPr="00D6004B" w:rsidTr="006A21A9">
        <w:trPr>
          <w:trHeight w:val="410"/>
        </w:trPr>
        <w:tc>
          <w:tcPr>
            <w:tcW w:w="1701" w:type="dxa"/>
            <w:vAlign w:val="center"/>
          </w:tcPr>
          <w:p w:rsidR="004540C9" w:rsidRPr="00481109" w:rsidRDefault="004540C9" w:rsidP="006A21A9">
            <w:pPr>
              <w:jc w:val="both"/>
              <w:rPr>
                <w:rFonts w:eastAsia="MS Mincho"/>
                <w:highlight w:val="yellow"/>
                <w:lang w:eastAsia="ja-JP"/>
              </w:rPr>
            </w:pPr>
          </w:p>
        </w:tc>
        <w:tc>
          <w:tcPr>
            <w:tcW w:w="1701" w:type="dxa"/>
            <w:vAlign w:val="center"/>
          </w:tcPr>
          <w:p w:rsidR="004540C9" w:rsidRPr="00481109" w:rsidRDefault="004540C9" w:rsidP="006A21A9">
            <w:pPr>
              <w:jc w:val="both"/>
              <w:rPr>
                <w:rFonts w:eastAsia="MS Mincho"/>
                <w:highlight w:val="yellow"/>
                <w:lang w:eastAsia="ja-JP"/>
              </w:rPr>
            </w:pPr>
          </w:p>
        </w:tc>
        <w:tc>
          <w:tcPr>
            <w:tcW w:w="1701" w:type="dxa"/>
          </w:tcPr>
          <w:p w:rsidR="004540C9" w:rsidRPr="00481109" w:rsidRDefault="004540C9" w:rsidP="006A21A9">
            <w:pPr>
              <w:widowControl w:val="0"/>
              <w:jc w:val="both"/>
              <w:rPr>
                <w:highlight w:val="yellow"/>
              </w:rPr>
            </w:pPr>
          </w:p>
        </w:tc>
        <w:tc>
          <w:tcPr>
            <w:tcW w:w="1417" w:type="dxa"/>
            <w:vAlign w:val="center"/>
          </w:tcPr>
          <w:p w:rsidR="004540C9" w:rsidRPr="00481109" w:rsidRDefault="004540C9" w:rsidP="006A21A9">
            <w:pPr>
              <w:widowControl w:val="0"/>
              <w:jc w:val="both"/>
              <w:rPr>
                <w:highlight w:val="yellow"/>
              </w:rPr>
            </w:pPr>
          </w:p>
        </w:tc>
        <w:tc>
          <w:tcPr>
            <w:tcW w:w="1418" w:type="dxa"/>
          </w:tcPr>
          <w:p w:rsidR="004540C9" w:rsidRPr="00481109" w:rsidRDefault="004540C9" w:rsidP="006A21A9">
            <w:pPr>
              <w:widowControl w:val="0"/>
              <w:jc w:val="both"/>
              <w:rPr>
                <w:highlight w:val="yellow"/>
              </w:rPr>
            </w:pPr>
          </w:p>
        </w:tc>
        <w:tc>
          <w:tcPr>
            <w:tcW w:w="1418" w:type="dxa"/>
          </w:tcPr>
          <w:p w:rsidR="004540C9" w:rsidRPr="00481109" w:rsidRDefault="004540C9" w:rsidP="006A21A9">
            <w:pPr>
              <w:widowControl w:val="0"/>
              <w:jc w:val="both"/>
              <w:rPr>
                <w:highlight w:val="yellow"/>
              </w:rPr>
            </w:pPr>
          </w:p>
        </w:tc>
      </w:tr>
    </w:tbl>
    <w:p w:rsidR="004540C9" w:rsidRDefault="004540C9" w:rsidP="004540C9">
      <w:pPr>
        <w:jc w:val="both"/>
        <w:rPr>
          <w:b/>
        </w:rPr>
      </w:pPr>
    </w:p>
    <w:p w:rsidR="004540C9" w:rsidRDefault="004540C9" w:rsidP="004540C9">
      <w:pPr>
        <w:jc w:val="both"/>
        <w:rPr>
          <w:b/>
        </w:rPr>
      </w:pPr>
    </w:p>
    <w:p w:rsidR="004540C9" w:rsidRDefault="004540C9" w:rsidP="004540C9">
      <w:pPr>
        <w:jc w:val="both"/>
        <w:rPr>
          <w:b/>
        </w:rPr>
      </w:pPr>
    </w:p>
    <w:p w:rsidR="004540C9" w:rsidRPr="00C01865" w:rsidRDefault="004540C9" w:rsidP="004540C9">
      <w:pPr>
        <w:jc w:val="both"/>
        <w:rPr>
          <w:b/>
        </w:rPr>
      </w:pPr>
      <w:r>
        <w:rPr>
          <w:b/>
        </w:rPr>
        <w:t>Question 10:</w:t>
      </w:r>
    </w:p>
    <w:p w:rsidR="004540C9" w:rsidRDefault="004540C9" w:rsidP="004540C9">
      <w:pPr>
        <w:jc w:val="both"/>
      </w:pPr>
      <w:r>
        <w:t>Further explain when and how the assignment was completed? Either through Auction or any other methods? Please provide detail process including the price in either case?</w:t>
      </w:r>
    </w:p>
    <w:p w:rsidR="004540C9" w:rsidRDefault="004540C9" w:rsidP="004540C9">
      <w:pPr>
        <w:jc w:val="both"/>
        <w:rPr>
          <w:b/>
        </w:rPr>
      </w:pPr>
    </w:p>
    <w:p w:rsidR="004540C9" w:rsidRPr="00A04F34" w:rsidRDefault="004540C9" w:rsidP="004540C9">
      <w:pPr>
        <w:jc w:val="both"/>
        <w:rPr>
          <w:b/>
        </w:rPr>
      </w:pPr>
      <w:r w:rsidRPr="00A04F34">
        <w:rPr>
          <w:b/>
        </w:rPr>
        <w:t>Ans:</w:t>
      </w:r>
    </w:p>
    <w:p w:rsidR="004540C9" w:rsidRDefault="004540C9" w:rsidP="004540C9">
      <w:pPr>
        <w:jc w:val="both"/>
      </w:pPr>
    </w:p>
    <w:p w:rsidR="004540C9" w:rsidRPr="00C01865" w:rsidRDefault="004540C9" w:rsidP="004540C9">
      <w:pPr>
        <w:jc w:val="both"/>
        <w:rPr>
          <w:b/>
        </w:rPr>
      </w:pPr>
      <w:r>
        <w:rPr>
          <w:b/>
        </w:rPr>
        <w:t>Question 11</w:t>
      </w:r>
      <w:r w:rsidRPr="00C01865">
        <w:rPr>
          <w:b/>
        </w:rPr>
        <w:t>:</w:t>
      </w:r>
    </w:p>
    <w:p w:rsidR="004540C9" w:rsidRDefault="004540C9" w:rsidP="004540C9">
      <w:pPr>
        <w:jc w:val="both"/>
      </w:pPr>
      <w:r>
        <w:t xml:space="preserve">In case if you have not yet assigned the band to commercial operators yet, please indicate probable time frame for such assignment and detail plan (such as possible plan for auction or any other mechanism). Please also indicate any difficulties that you are facing for the assignment? </w:t>
      </w:r>
    </w:p>
    <w:p w:rsidR="004540C9" w:rsidRDefault="004540C9" w:rsidP="004540C9">
      <w:pPr>
        <w:jc w:val="both"/>
      </w:pPr>
      <w:bookmarkStart w:id="0" w:name="_GoBack"/>
    </w:p>
    <w:p w:rsidR="004540C9" w:rsidRDefault="004540C9" w:rsidP="004540C9">
      <w:pPr>
        <w:jc w:val="both"/>
        <w:rPr>
          <w:b/>
        </w:rPr>
      </w:pPr>
      <w:r w:rsidRPr="00A04F34">
        <w:rPr>
          <w:b/>
        </w:rPr>
        <w:t>Ans:</w:t>
      </w:r>
    </w:p>
    <w:bookmarkEnd w:id="0"/>
    <w:p w:rsidR="004540C9" w:rsidRDefault="004540C9" w:rsidP="004540C9">
      <w:pPr>
        <w:jc w:val="both"/>
        <w:rPr>
          <w:b/>
        </w:rPr>
      </w:pPr>
    </w:p>
    <w:p w:rsidR="004540C9" w:rsidRDefault="004540C9" w:rsidP="004540C9">
      <w:pPr>
        <w:jc w:val="both"/>
        <w:rPr>
          <w:b/>
        </w:rPr>
      </w:pPr>
    </w:p>
    <w:p w:rsidR="004540C9" w:rsidRPr="00C01865" w:rsidRDefault="004540C9" w:rsidP="004540C9">
      <w:pPr>
        <w:jc w:val="both"/>
        <w:rPr>
          <w:b/>
        </w:rPr>
      </w:pPr>
      <w:r>
        <w:rPr>
          <w:b/>
        </w:rPr>
        <w:t>Question 12</w:t>
      </w:r>
      <w:r w:rsidRPr="00C01865">
        <w:rPr>
          <w:b/>
        </w:rPr>
        <w:t>:</w:t>
      </w:r>
    </w:p>
    <w:p w:rsidR="004540C9" w:rsidRDefault="004540C9" w:rsidP="004540C9">
      <w:pPr>
        <w:jc w:val="both"/>
      </w:pPr>
      <w:r>
        <w:t>Did you have any feedback from the commercial operators regarding customer experiences about the IMT services provided at APT700? Please provide details if possible.</w:t>
      </w:r>
    </w:p>
    <w:p w:rsidR="004540C9" w:rsidRDefault="004540C9" w:rsidP="004540C9">
      <w:pPr>
        <w:jc w:val="both"/>
      </w:pPr>
    </w:p>
    <w:p w:rsidR="004540C9" w:rsidRDefault="004540C9" w:rsidP="004540C9">
      <w:pPr>
        <w:jc w:val="both"/>
        <w:rPr>
          <w:b/>
        </w:rPr>
      </w:pPr>
      <w:r w:rsidRPr="00A04F34">
        <w:rPr>
          <w:b/>
        </w:rPr>
        <w:t>Ans:</w:t>
      </w:r>
    </w:p>
    <w:p w:rsidR="004540C9" w:rsidRDefault="004540C9" w:rsidP="004540C9">
      <w:pPr>
        <w:jc w:val="both"/>
        <w:rPr>
          <w:b/>
        </w:rPr>
      </w:pPr>
    </w:p>
    <w:p w:rsidR="004540C9" w:rsidRPr="00404130" w:rsidRDefault="004540C9" w:rsidP="004540C9">
      <w:pPr>
        <w:spacing w:before="120"/>
        <w:jc w:val="both"/>
        <w:rPr>
          <w:b/>
          <w:color w:val="FF0000"/>
        </w:rPr>
      </w:pPr>
      <w:r w:rsidRPr="00404130">
        <w:rPr>
          <w:b/>
          <w:color w:val="FF0000"/>
        </w:rPr>
        <w:t xml:space="preserve">Note </w:t>
      </w:r>
      <w:r>
        <w:rPr>
          <w:b/>
          <w:color w:val="FF0000"/>
        </w:rPr>
        <w:t>4</w:t>
      </w:r>
      <w:r w:rsidRPr="00404130">
        <w:rPr>
          <w:b/>
          <w:color w:val="FF0000"/>
        </w:rPr>
        <w:t xml:space="preserve">: </w:t>
      </w:r>
      <w:r>
        <w:rPr>
          <w:b/>
          <w:color w:val="FF0000"/>
        </w:rPr>
        <w:t>Following questions are general in nature</w:t>
      </w:r>
    </w:p>
    <w:p w:rsidR="004540C9" w:rsidRDefault="004540C9" w:rsidP="004540C9">
      <w:pPr>
        <w:jc w:val="both"/>
        <w:rPr>
          <w:b/>
        </w:rPr>
      </w:pPr>
    </w:p>
    <w:p w:rsidR="004540C9" w:rsidRPr="00C01865" w:rsidRDefault="004540C9" w:rsidP="004540C9">
      <w:pPr>
        <w:jc w:val="both"/>
        <w:rPr>
          <w:b/>
        </w:rPr>
      </w:pPr>
      <w:r>
        <w:rPr>
          <w:b/>
        </w:rPr>
        <w:t>Question 13</w:t>
      </w:r>
      <w:r w:rsidRPr="00C01865">
        <w:rPr>
          <w:b/>
        </w:rPr>
        <w:t>:</w:t>
      </w:r>
      <w:r>
        <w:rPr>
          <w:b/>
        </w:rPr>
        <w:t xml:space="preserve"> </w:t>
      </w:r>
    </w:p>
    <w:p w:rsidR="004540C9" w:rsidRDefault="004540C9" w:rsidP="004540C9">
      <w:pPr>
        <w:jc w:val="both"/>
      </w:pPr>
      <w:r>
        <w:t>How do you think the prospects of APT700 as regional and international harmonized band plan for LTE? Please provide your views.</w:t>
      </w:r>
    </w:p>
    <w:p w:rsidR="004540C9" w:rsidRDefault="004540C9" w:rsidP="004540C9">
      <w:pPr>
        <w:jc w:val="both"/>
      </w:pPr>
      <w:r>
        <w:t xml:space="preserve"> </w:t>
      </w:r>
    </w:p>
    <w:p w:rsidR="004540C9" w:rsidRDefault="004540C9" w:rsidP="004540C9">
      <w:pPr>
        <w:jc w:val="both"/>
        <w:rPr>
          <w:b/>
        </w:rPr>
      </w:pPr>
      <w:r w:rsidRPr="00A04F34">
        <w:rPr>
          <w:b/>
        </w:rPr>
        <w:t>Ans:</w:t>
      </w:r>
    </w:p>
    <w:p w:rsidR="004540C9" w:rsidRDefault="004540C9" w:rsidP="004540C9">
      <w:pPr>
        <w:jc w:val="both"/>
        <w:rPr>
          <w:b/>
        </w:rPr>
      </w:pPr>
    </w:p>
    <w:p w:rsidR="004540C9" w:rsidRPr="00C01865" w:rsidRDefault="004540C9" w:rsidP="004540C9">
      <w:pPr>
        <w:jc w:val="both"/>
        <w:rPr>
          <w:b/>
        </w:rPr>
      </w:pPr>
      <w:r>
        <w:rPr>
          <w:b/>
        </w:rPr>
        <w:t>Question 14</w:t>
      </w:r>
      <w:r w:rsidRPr="00C01865">
        <w:rPr>
          <w:b/>
        </w:rPr>
        <w:t>:</w:t>
      </w:r>
      <w:r>
        <w:rPr>
          <w:b/>
        </w:rPr>
        <w:t xml:space="preserve"> </w:t>
      </w:r>
    </w:p>
    <w:p w:rsidR="004540C9" w:rsidRDefault="004540C9" w:rsidP="004540C9">
      <w:pPr>
        <w:jc w:val="both"/>
      </w:pPr>
      <w:r>
        <w:t xml:space="preserve">Do you have any comment about the device ecosystem of APT700? Please explain your views.  </w:t>
      </w:r>
    </w:p>
    <w:p w:rsidR="004540C9" w:rsidRDefault="004540C9" w:rsidP="004540C9">
      <w:pPr>
        <w:jc w:val="both"/>
      </w:pPr>
      <w:r>
        <w:t xml:space="preserve"> </w:t>
      </w:r>
    </w:p>
    <w:p w:rsidR="004540C9" w:rsidRDefault="004540C9" w:rsidP="004540C9">
      <w:pPr>
        <w:jc w:val="both"/>
        <w:rPr>
          <w:b/>
        </w:rPr>
      </w:pPr>
      <w:r w:rsidRPr="00A04F34">
        <w:rPr>
          <w:b/>
        </w:rPr>
        <w:t>Ans:</w:t>
      </w:r>
    </w:p>
    <w:p w:rsidR="004540C9" w:rsidRDefault="004540C9" w:rsidP="004540C9">
      <w:pPr>
        <w:jc w:val="both"/>
        <w:rPr>
          <w:b/>
        </w:rPr>
      </w:pPr>
    </w:p>
    <w:p w:rsidR="004540C9" w:rsidRDefault="004540C9" w:rsidP="004540C9">
      <w:pPr>
        <w:jc w:val="both"/>
        <w:rPr>
          <w:b/>
        </w:rPr>
      </w:pPr>
    </w:p>
    <w:p w:rsidR="004540C9" w:rsidRDefault="004540C9" w:rsidP="004540C9">
      <w:pPr>
        <w:jc w:val="center"/>
        <w:rPr>
          <w:b/>
        </w:rPr>
      </w:pPr>
      <w:r>
        <w:rPr>
          <w:b/>
        </w:rPr>
        <w:t>_____________________</w:t>
      </w:r>
    </w:p>
    <w:p w:rsidR="004540C9" w:rsidRPr="00A04F34" w:rsidRDefault="004540C9" w:rsidP="004540C9">
      <w:pPr>
        <w:jc w:val="both"/>
        <w:rPr>
          <w:b/>
        </w:rPr>
      </w:pPr>
    </w:p>
    <w:p w:rsidR="004540C9" w:rsidRPr="00A04F34" w:rsidRDefault="004540C9" w:rsidP="004540C9">
      <w:pPr>
        <w:tabs>
          <w:tab w:val="left" w:pos="1320"/>
        </w:tabs>
      </w:pPr>
    </w:p>
    <w:p w:rsidR="002C7EA9" w:rsidRDefault="002C7EA9" w:rsidP="00C357AD">
      <w:pPr>
        <w:jc w:val="both"/>
        <w:rPr>
          <w:b/>
        </w:rPr>
      </w:pPr>
    </w:p>
    <w:sectPr w:rsidR="002C7EA9" w:rsidSect="00DB0A68">
      <w:headerReference w:type="default" r:id="rId14"/>
      <w:footerReference w:type="even" r:id="rId15"/>
      <w:footerReference w:type="default" r:id="rId16"/>
      <w:footerReference w:type="first" r:id="rId17"/>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63E" w:rsidRDefault="00E7563E">
      <w:r>
        <w:separator/>
      </w:r>
    </w:p>
  </w:endnote>
  <w:endnote w:type="continuationSeparator" w:id="0">
    <w:p w:rsidR="00E7563E" w:rsidRDefault="00E7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altName w:val="굴림체"/>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panose1 w:val="02030609000101010101"/>
    <w:charset w:val="81"/>
    <w:family w:val="modern"/>
    <w:pitch w:val="fixed"/>
    <w:sig w:usb0="00000000"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3771CA" w:rsidP="003771CA">
    <w:pPr>
      <w:pStyle w:val="Footer"/>
      <w:ind w:right="360"/>
      <w:rPr>
        <w:rStyle w:val="PageNumber"/>
      </w:rPr>
    </w:pPr>
    <w:r>
      <w:rPr>
        <w:rFonts w:hint="eastAsia"/>
        <w:lang w:eastAsia="ko-KR"/>
      </w:rPr>
      <w:t>A</w:t>
    </w:r>
    <w:r>
      <w:rPr>
        <w:lang w:eastAsia="ko-KR"/>
      </w:rPr>
      <w:t>WG</w:t>
    </w:r>
    <w:r>
      <w:rPr>
        <w:rFonts w:hint="eastAsia"/>
        <w:lang w:eastAsia="ko-KR"/>
      </w:rPr>
      <w:t>-</w:t>
    </w:r>
    <w:r w:rsidR="00CC1DE7">
      <w:rPr>
        <w:lang w:eastAsia="ko-KR"/>
      </w:rPr>
      <w:t>23</w:t>
    </w:r>
    <w:r>
      <w:rPr>
        <w:rFonts w:hint="eastAsia"/>
        <w:lang w:eastAsia="ko-KR"/>
      </w:rPr>
      <w:t>/</w:t>
    </w:r>
    <w:r w:rsidR="004508C5">
      <w:rPr>
        <w:lang w:eastAsia="ko-KR"/>
      </w:rPr>
      <w:t>OUT-20</w:t>
    </w:r>
    <w:r>
      <w:rPr>
        <w:rStyle w:val="PageNumber"/>
      </w:rPr>
      <w:tab/>
    </w:r>
    <w:r>
      <w:rPr>
        <w:rStyle w:val="PageNumber"/>
      </w:rPr>
      <w:tab/>
      <w:t xml:space="preserve">   </w:t>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8B7949">
      <w:rPr>
        <w:rStyle w:val="PageNumber"/>
        <w:noProof/>
      </w:rPr>
      <w:t>4</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8B7949">
      <w:rPr>
        <w:rStyle w:val="PageNumber"/>
        <w:noProof/>
      </w:rPr>
      <w:t>4</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rsidRPr="003771CA">
      <w:trPr>
        <w:cantSplit/>
        <w:trHeight w:val="204"/>
        <w:jc w:val="center"/>
      </w:trPr>
      <w:tc>
        <w:tcPr>
          <w:tcW w:w="1617" w:type="dxa"/>
          <w:tcBorders>
            <w:top w:val="single" w:sz="12" w:space="0" w:color="auto"/>
          </w:tcBorders>
        </w:tcPr>
        <w:p w:rsidR="0097693B" w:rsidRPr="003771CA" w:rsidRDefault="0097693B" w:rsidP="00762576">
          <w:pPr>
            <w:rPr>
              <w:b/>
              <w:bCs/>
            </w:rPr>
          </w:pPr>
          <w:r w:rsidRPr="003771CA">
            <w:rPr>
              <w:b/>
              <w:bCs/>
            </w:rPr>
            <w:t>Contact:</w:t>
          </w:r>
        </w:p>
      </w:tc>
      <w:tc>
        <w:tcPr>
          <w:tcW w:w="4394" w:type="dxa"/>
          <w:tcBorders>
            <w:top w:val="single" w:sz="12" w:space="0" w:color="auto"/>
          </w:tcBorders>
        </w:tcPr>
        <w:p w:rsidR="004540C9" w:rsidRPr="003771CA" w:rsidRDefault="004540C9" w:rsidP="003771CA">
          <w:pPr>
            <w:pStyle w:val="Equation"/>
            <w:tabs>
              <w:tab w:val="clear" w:pos="4820"/>
              <w:tab w:val="clear" w:pos="9639"/>
              <w:tab w:val="left" w:pos="1191"/>
              <w:tab w:val="left" w:pos="1588"/>
              <w:tab w:val="left" w:pos="1985"/>
            </w:tabs>
            <w:spacing w:beforeLines="0" w:before="0"/>
            <w:rPr>
              <w:rFonts w:eastAsia="Batang"/>
              <w:szCs w:val="24"/>
            </w:rPr>
          </w:pPr>
        </w:p>
      </w:tc>
      <w:tc>
        <w:tcPr>
          <w:tcW w:w="3912" w:type="dxa"/>
          <w:tcBorders>
            <w:top w:val="single" w:sz="12" w:space="0" w:color="auto"/>
          </w:tcBorders>
        </w:tcPr>
        <w:p w:rsidR="0097693B" w:rsidRPr="003771CA" w:rsidRDefault="0097693B" w:rsidP="00CB5FB9">
          <w:pPr>
            <w:rPr>
              <w:lang w:eastAsia="ja-JP"/>
            </w:rPr>
          </w:pPr>
          <w:r w:rsidRPr="003771CA">
            <w:t>Email</w:t>
          </w:r>
          <w:r w:rsidRPr="003771CA">
            <w:rPr>
              <w:rFonts w:hint="eastAsia"/>
            </w:rPr>
            <w:t xml:space="preserve">: </w:t>
          </w: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63E" w:rsidRDefault="00E7563E">
      <w:r>
        <w:separator/>
      </w:r>
    </w:p>
  </w:footnote>
  <w:footnote w:type="continuationSeparator" w:id="0">
    <w:p w:rsidR="00E7563E" w:rsidRDefault="00E75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C15633">
    <w:pPr>
      <w:pStyle w:val="Header"/>
      <w:tabs>
        <w:tab w:val="center" w:pos="4763"/>
        <w:tab w:val="left" w:pos="5820"/>
      </w:tabs>
      <w:rPr>
        <w:lang w:eastAsia="ko-KR"/>
      </w:rPr>
    </w:pPr>
    <w:r>
      <w:rPr>
        <w:lang w:eastAsia="ko-KR"/>
      </w:rPr>
      <w:tab/>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4DD411B1"/>
    <w:multiLevelType w:val="hybridMultilevel"/>
    <w:tmpl w:val="E7181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5"/>
  </w:num>
  <w:num w:numId="2">
    <w:abstractNumId w:val="3"/>
  </w:num>
  <w:num w:numId="3">
    <w:abstractNumId w:val="2"/>
  </w:num>
  <w:num w:numId="4">
    <w:abstractNumId w:val="8"/>
  </w:num>
  <w:num w:numId="5">
    <w:abstractNumId w:val="4"/>
  </w:num>
  <w:num w:numId="6">
    <w:abstractNumId w:val="6"/>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0C9"/>
    <w:rsid w:val="000011E8"/>
    <w:rsid w:val="00032A21"/>
    <w:rsid w:val="0003595B"/>
    <w:rsid w:val="00036774"/>
    <w:rsid w:val="000378E2"/>
    <w:rsid w:val="00070985"/>
    <w:rsid w:val="000A2485"/>
    <w:rsid w:val="000A4256"/>
    <w:rsid w:val="000A6769"/>
    <w:rsid w:val="000F5540"/>
    <w:rsid w:val="0018079A"/>
    <w:rsid w:val="00196568"/>
    <w:rsid w:val="001B18C2"/>
    <w:rsid w:val="001D5D7E"/>
    <w:rsid w:val="001D6919"/>
    <w:rsid w:val="0023273D"/>
    <w:rsid w:val="002458F8"/>
    <w:rsid w:val="00254A1B"/>
    <w:rsid w:val="00262EAB"/>
    <w:rsid w:val="0028454D"/>
    <w:rsid w:val="002926D4"/>
    <w:rsid w:val="00295B04"/>
    <w:rsid w:val="002B16D9"/>
    <w:rsid w:val="002B2757"/>
    <w:rsid w:val="002C07DA"/>
    <w:rsid w:val="002C7EA9"/>
    <w:rsid w:val="002F2C66"/>
    <w:rsid w:val="003578AB"/>
    <w:rsid w:val="00376023"/>
    <w:rsid w:val="003766E2"/>
    <w:rsid w:val="003771CA"/>
    <w:rsid w:val="003A232C"/>
    <w:rsid w:val="003B6263"/>
    <w:rsid w:val="003B6E54"/>
    <w:rsid w:val="003B6EF9"/>
    <w:rsid w:val="003C64A7"/>
    <w:rsid w:val="003D3FDA"/>
    <w:rsid w:val="003D4768"/>
    <w:rsid w:val="003F2317"/>
    <w:rsid w:val="00420822"/>
    <w:rsid w:val="004508C5"/>
    <w:rsid w:val="004540C9"/>
    <w:rsid w:val="0045458F"/>
    <w:rsid w:val="00486F61"/>
    <w:rsid w:val="004F050A"/>
    <w:rsid w:val="005123C9"/>
    <w:rsid w:val="00515BCE"/>
    <w:rsid w:val="00530E8C"/>
    <w:rsid w:val="00545CF7"/>
    <w:rsid w:val="00551B76"/>
    <w:rsid w:val="005562E4"/>
    <w:rsid w:val="00587875"/>
    <w:rsid w:val="005A33DF"/>
    <w:rsid w:val="005C7E76"/>
    <w:rsid w:val="00607E2B"/>
    <w:rsid w:val="00614171"/>
    <w:rsid w:val="00627E64"/>
    <w:rsid w:val="0063062B"/>
    <w:rsid w:val="00636AEC"/>
    <w:rsid w:val="00667229"/>
    <w:rsid w:val="0067040A"/>
    <w:rsid w:val="00682BE5"/>
    <w:rsid w:val="006B0091"/>
    <w:rsid w:val="006C7574"/>
    <w:rsid w:val="006E6ACB"/>
    <w:rsid w:val="0074190C"/>
    <w:rsid w:val="00762576"/>
    <w:rsid w:val="0078110F"/>
    <w:rsid w:val="007A2FB0"/>
    <w:rsid w:val="007E6C90"/>
    <w:rsid w:val="007F7740"/>
    <w:rsid w:val="0080570B"/>
    <w:rsid w:val="008133E2"/>
    <w:rsid w:val="008148E1"/>
    <w:rsid w:val="00865017"/>
    <w:rsid w:val="0088109B"/>
    <w:rsid w:val="008819A7"/>
    <w:rsid w:val="008957C0"/>
    <w:rsid w:val="00895888"/>
    <w:rsid w:val="008B7949"/>
    <w:rsid w:val="008D0E09"/>
    <w:rsid w:val="00906EB0"/>
    <w:rsid w:val="00922A59"/>
    <w:rsid w:val="00946905"/>
    <w:rsid w:val="0097693B"/>
    <w:rsid w:val="009A4A6D"/>
    <w:rsid w:val="009C3A88"/>
    <w:rsid w:val="009D0982"/>
    <w:rsid w:val="00A331AD"/>
    <w:rsid w:val="00A438A8"/>
    <w:rsid w:val="00A44BFA"/>
    <w:rsid w:val="00A53045"/>
    <w:rsid w:val="00A548EF"/>
    <w:rsid w:val="00A80D60"/>
    <w:rsid w:val="00A948CF"/>
    <w:rsid w:val="00A958B0"/>
    <w:rsid w:val="00AA41DB"/>
    <w:rsid w:val="00AA474C"/>
    <w:rsid w:val="00AB032C"/>
    <w:rsid w:val="00AD7E5F"/>
    <w:rsid w:val="00AF22A7"/>
    <w:rsid w:val="00B25D6A"/>
    <w:rsid w:val="00B30C81"/>
    <w:rsid w:val="00BB4D83"/>
    <w:rsid w:val="00BF663E"/>
    <w:rsid w:val="00C15633"/>
    <w:rsid w:val="00C357AD"/>
    <w:rsid w:val="00CB5FB9"/>
    <w:rsid w:val="00CC1DE7"/>
    <w:rsid w:val="00CD5431"/>
    <w:rsid w:val="00CD5E6D"/>
    <w:rsid w:val="00CD75B4"/>
    <w:rsid w:val="00CE74EB"/>
    <w:rsid w:val="00CE77B2"/>
    <w:rsid w:val="00CF2491"/>
    <w:rsid w:val="00D200ED"/>
    <w:rsid w:val="00D43970"/>
    <w:rsid w:val="00D57772"/>
    <w:rsid w:val="00D65FF5"/>
    <w:rsid w:val="00D75A4D"/>
    <w:rsid w:val="00D8478B"/>
    <w:rsid w:val="00D86151"/>
    <w:rsid w:val="00DA7595"/>
    <w:rsid w:val="00DB0A68"/>
    <w:rsid w:val="00DB25B9"/>
    <w:rsid w:val="00DB67D7"/>
    <w:rsid w:val="00DC43A3"/>
    <w:rsid w:val="00DD68FC"/>
    <w:rsid w:val="00DE4D0D"/>
    <w:rsid w:val="00E035A1"/>
    <w:rsid w:val="00E11CD0"/>
    <w:rsid w:val="00E674D3"/>
    <w:rsid w:val="00E7563E"/>
    <w:rsid w:val="00E94EF1"/>
    <w:rsid w:val="00EC1A88"/>
    <w:rsid w:val="00EE7DA0"/>
    <w:rsid w:val="00EF1641"/>
    <w:rsid w:val="00F373F5"/>
    <w:rsid w:val="00F80501"/>
    <w:rsid w:val="00F84067"/>
    <w:rsid w:val="00F9296C"/>
    <w:rsid w:val="00FC2CE0"/>
    <w:rsid w:val="00FD592E"/>
    <w:rsid w:val="00FE1665"/>
    <w:rsid w:val="00FE5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E667D9B-88E8-459F-A726-31E8D85F7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Default">
    <w:name w:val="Default"/>
    <w:rsid w:val="004540C9"/>
    <w:pPr>
      <w:autoSpaceDE w:val="0"/>
      <w:autoSpaceDN w:val="0"/>
      <w:adjustRightInd w:val="0"/>
    </w:pPr>
    <w:rPr>
      <w:rFonts w:ascii="Arial" w:eastAsia="Calibri" w:hAnsi="Arial" w:cs="Arial"/>
      <w:color w:val="000000"/>
      <w:sz w:val="24"/>
      <w:szCs w:val="24"/>
    </w:rPr>
  </w:style>
  <w:style w:type="character" w:styleId="Strong">
    <w:name w:val="Strong"/>
    <w:uiPriority w:val="22"/>
    <w:qFormat/>
    <w:rsid w:val="004540C9"/>
    <w:rPr>
      <w:b/>
      <w:bCs/>
    </w:rPr>
  </w:style>
  <w:style w:type="paragraph" w:styleId="ListParagraph">
    <w:name w:val="List Paragraph"/>
    <w:basedOn w:val="Normal"/>
    <w:uiPriority w:val="34"/>
    <w:qFormat/>
    <w:rsid w:val="004540C9"/>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4540C9"/>
    <w:rPr>
      <w:color w:val="0563C1"/>
      <w:u w:val="single"/>
    </w:rPr>
  </w:style>
  <w:style w:type="table" w:styleId="TableGrid">
    <w:name w:val="Table Grid"/>
    <w:basedOn w:val="TableNormal"/>
    <w:uiPriority w:val="39"/>
    <w:rsid w:val="004540C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t.int/sites/default/files/APT-AWF-REP-14_APT_Report_Harmonized_Freq_Arrangement.doc" TargetMode="External"/><Relationship Id="rId13" Type="http://schemas.openxmlformats.org/officeDocument/2006/relationships/hyperlink" Target="http://www.apt.int/sites/default/files/Upload-files/AWG/APT-AWG-REC-08_APT_Recommendation_APT700.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pt.int/sites/default/files/Upload-files/AWG/APT-AWG-REC-08_APT_Recommendation_APT700.docx"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tawg@apt.in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arvez@apt.in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pt.int/sites/default/files/Upload-files/AWG/APT-AWG-REC-08_APT_Recommendation_APT700.docx"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APT%20Docs\AWG\AWG-23-2018\AWG-23%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AWG-23 Document Template.dot</Template>
  <TotalTime>7</TotalTime>
  <Pages>4</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APT</Company>
  <LinksUpToDate>false</LinksUpToDate>
  <CharactersWithSpaces>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Forhadul Parvez</dc:creator>
  <cp:keywords/>
  <cp:lastModifiedBy>APT Secretariat</cp:lastModifiedBy>
  <cp:revision>14</cp:revision>
  <cp:lastPrinted>1899-12-31T17:00:00Z</cp:lastPrinted>
  <dcterms:created xsi:type="dcterms:W3CDTF">2018-04-13T04:04:00Z</dcterms:created>
  <dcterms:modified xsi:type="dcterms:W3CDTF">2018-04-24T07:04:00Z</dcterms:modified>
</cp:coreProperties>
</file>