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036EBF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66675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C61EE1">
            <w:pPr>
              <w:spacing w:line="0" w:lineRule="atLeast"/>
            </w:pPr>
            <w:r>
              <w:rPr>
                <w:b/>
              </w:rPr>
              <w:t>The APT Conference Prepar</w:t>
            </w:r>
            <w:r w:rsidR="00D05805">
              <w:rPr>
                <w:b/>
              </w:rPr>
              <w:t xml:space="preserve">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C15799" w:rsidRDefault="00295D9B" w:rsidP="003209E0">
            <w:pPr>
              <w:rPr>
                <w:b/>
                <w:bCs/>
                <w:lang w:val="fr-FR"/>
              </w:rPr>
            </w:pPr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891D0B" w:rsidRDefault="00295D9B" w:rsidP="00D05805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712451" w:rsidRDefault="00295D9B" w:rsidP="003209E0">
            <w:pPr>
              <w:rPr>
                <w:b/>
              </w:rPr>
            </w:pPr>
          </w:p>
        </w:tc>
      </w:tr>
    </w:tbl>
    <w:p w:rsidR="00DA7595" w:rsidRDefault="00C61EE1" w:rsidP="00DA7595">
      <w:pPr>
        <w:rPr>
          <w:lang w:eastAsia="ko-KR"/>
        </w:rPr>
      </w:pPr>
      <w:r>
        <w:rPr>
          <w:lang w:eastAsia="ko-KR"/>
        </w:rPr>
        <w:t>Source: APG15-4/OUT-09</w:t>
      </w:r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DB0A68" w:rsidRPr="00050C3D" w:rsidRDefault="00D1252E" w:rsidP="00050C3D">
      <w:pPr>
        <w:jc w:val="center"/>
        <w:rPr>
          <w:rFonts w:eastAsiaTheme="minorEastAsia"/>
          <w:b/>
          <w:bCs/>
          <w:caps/>
          <w:sz w:val="28"/>
          <w:szCs w:val="28"/>
          <w:lang w:eastAsia="ko-KR"/>
        </w:rPr>
      </w:pPr>
      <w:r>
        <w:rPr>
          <w:b/>
          <w:bCs/>
          <w:caps/>
          <w:sz w:val="28"/>
          <w:szCs w:val="28"/>
        </w:rPr>
        <w:t>preliminary v</w:t>
      </w:r>
      <w:r w:rsidR="00017D59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agenda item </w:t>
      </w:r>
      <w:r w:rsidR="00D4633B">
        <w:rPr>
          <w:rFonts w:eastAsiaTheme="minorEastAsia" w:hint="eastAsia"/>
          <w:b/>
          <w:bCs/>
          <w:caps/>
          <w:sz w:val="28"/>
          <w:szCs w:val="28"/>
          <w:lang w:eastAsia="ko-KR"/>
        </w:rPr>
        <w:t>1</w:t>
      </w:r>
      <w:r w:rsidR="007A507E">
        <w:rPr>
          <w:b/>
          <w:bCs/>
          <w:caps/>
          <w:sz w:val="28"/>
          <w:szCs w:val="28"/>
        </w:rPr>
        <w:t>.</w:t>
      </w:r>
      <w:r w:rsidR="00D4633B">
        <w:rPr>
          <w:rFonts w:eastAsiaTheme="minorEastAsia" w:hint="eastAsia"/>
          <w:b/>
          <w:bCs/>
          <w:caps/>
          <w:sz w:val="28"/>
          <w:szCs w:val="28"/>
          <w:lang w:eastAsia="ko-KR"/>
        </w:rPr>
        <w:t>3</w:t>
      </w:r>
      <w:r w:rsidR="00C61EE1">
        <w:rPr>
          <w:rFonts w:eastAsiaTheme="minorEastAsia"/>
          <w:b/>
          <w:bCs/>
          <w:caps/>
          <w:sz w:val="28"/>
          <w:szCs w:val="28"/>
          <w:lang w:eastAsia="ko-KR"/>
        </w:rPr>
        <w:t xml:space="preserve"> developed by apg15-4</w:t>
      </w:r>
    </w:p>
    <w:p w:rsidR="00C357AD" w:rsidRDefault="00C357AD" w:rsidP="00C357AD">
      <w:pPr>
        <w:jc w:val="center"/>
        <w:rPr>
          <w:b/>
        </w:rPr>
      </w:pPr>
    </w:p>
    <w:p w:rsidR="00C357AD" w:rsidRDefault="00C357AD" w:rsidP="00C357AD">
      <w:pPr>
        <w:jc w:val="both"/>
        <w:rPr>
          <w:b/>
        </w:rPr>
      </w:pPr>
    </w:p>
    <w:p w:rsidR="008319BF" w:rsidRDefault="000A5418" w:rsidP="00C357AD">
      <w:pPr>
        <w:jc w:val="both"/>
      </w:pPr>
      <w:r>
        <w:rPr>
          <w:b/>
        </w:rPr>
        <w:t xml:space="preserve">Agenda Item </w:t>
      </w:r>
      <w:r w:rsidR="00177B2B">
        <w:rPr>
          <w:rFonts w:eastAsiaTheme="minorEastAsia" w:hint="eastAsia"/>
          <w:b/>
          <w:lang w:eastAsia="ko-KR"/>
        </w:rPr>
        <w:t>1</w:t>
      </w:r>
      <w:r>
        <w:rPr>
          <w:b/>
        </w:rPr>
        <w:t>.</w:t>
      </w:r>
      <w:r w:rsidR="00177B2B">
        <w:rPr>
          <w:rFonts w:eastAsiaTheme="minorEastAsia" w:hint="eastAsia"/>
          <w:b/>
          <w:lang w:eastAsia="ko-KR"/>
        </w:rPr>
        <w:t>3</w:t>
      </w:r>
      <w:r>
        <w:rPr>
          <w:b/>
        </w:rPr>
        <w:t xml:space="preserve">: </w:t>
      </w:r>
    </w:p>
    <w:p w:rsidR="000A5418" w:rsidRDefault="00177B2B" w:rsidP="00177B2B">
      <w:pPr>
        <w:widowControl w:val="0"/>
        <w:autoSpaceDE w:val="0"/>
        <w:autoSpaceDN w:val="0"/>
        <w:adjustRightInd w:val="0"/>
        <w:spacing w:after="120"/>
        <w:rPr>
          <w:rFonts w:eastAsiaTheme="minorEastAsia"/>
          <w:lang w:eastAsia="ko-KR"/>
        </w:rPr>
      </w:pPr>
      <w:r w:rsidRPr="00B93FF1">
        <w:rPr>
          <w:rFonts w:eastAsia="Batang"/>
          <w:i/>
          <w:lang w:val="en-GB"/>
        </w:rPr>
        <w:t xml:space="preserve">to review and revise Resolution </w:t>
      </w:r>
      <w:r w:rsidRPr="00B93FF1">
        <w:rPr>
          <w:rFonts w:eastAsia="Batang"/>
          <w:b/>
          <w:bCs/>
          <w:i/>
          <w:lang w:val="en-GB"/>
        </w:rPr>
        <w:t xml:space="preserve">646 (Rev.WRC-12) </w:t>
      </w:r>
      <w:r w:rsidRPr="00B93FF1">
        <w:rPr>
          <w:rFonts w:eastAsia="Batang"/>
          <w:i/>
          <w:lang w:val="en-GB"/>
        </w:rPr>
        <w:t>for broadband public protection and</w:t>
      </w:r>
      <w:r w:rsidRPr="00B93FF1">
        <w:rPr>
          <w:rFonts w:eastAsia="SimSun"/>
          <w:i/>
          <w:lang w:val="en-GB" w:eastAsia="zh-CN"/>
        </w:rPr>
        <w:t xml:space="preserve"> </w:t>
      </w:r>
      <w:r w:rsidRPr="00B93FF1">
        <w:rPr>
          <w:rFonts w:eastAsia="Batang"/>
          <w:i/>
          <w:lang w:val="en-GB"/>
        </w:rPr>
        <w:t xml:space="preserve">disaster relief (PPDR), in accordance with Resolution </w:t>
      </w:r>
      <w:r w:rsidRPr="00B93FF1">
        <w:rPr>
          <w:rFonts w:eastAsia="Batang"/>
          <w:b/>
          <w:bCs/>
          <w:i/>
          <w:lang w:val="en-GB"/>
        </w:rPr>
        <w:t>648 (WRC-12</w:t>
      </w:r>
      <w:r w:rsidR="00050C3D">
        <w:rPr>
          <w:rFonts w:eastAsiaTheme="minorEastAsia" w:hint="eastAsia"/>
          <w:b/>
          <w:bCs/>
          <w:i/>
          <w:lang w:val="en-GB" w:eastAsia="ko-KR"/>
        </w:rPr>
        <w:t>)</w:t>
      </w:r>
      <w:r w:rsidR="00050C3D">
        <w:rPr>
          <w:rFonts w:eastAsiaTheme="minorEastAsia" w:hint="eastAsia"/>
          <w:bCs/>
          <w:i/>
          <w:lang w:val="en-GB" w:eastAsia="ko-KR"/>
        </w:rPr>
        <w:t>;</w:t>
      </w:r>
      <w:r w:rsidR="00017D59">
        <w:tab/>
      </w:r>
    </w:p>
    <w:p w:rsidR="00050C3D" w:rsidRPr="006A5D05" w:rsidRDefault="00050C3D" w:rsidP="00050C3D">
      <w:r w:rsidRPr="006A5D05">
        <w:t xml:space="preserve">Resolution </w:t>
      </w:r>
      <w:r w:rsidRPr="00ED4515">
        <w:rPr>
          <w:b/>
          <w:bCs/>
        </w:rPr>
        <w:t>648 (WRC-12)</w:t>
      </w:r>
      <w:r w:rsidRPr="006A5D05">
        <w:t xml:space="preserve">: </w:t>
      </w:r>
      <w:r w:rsidRPr="00ED4515">
        <w:rPr>
          <w:i/>
          <w:iCs/>
        </w:rPr>
        <w:t>Studies to support broadband public protection and disaster relief</w:t>
      </w:r>
      <w:r w:rsidRPr="006A5D05">
        <w:t>.</w:t>
      </w:r>
    </w:p>
    <w:p w:rsidR="000A5418" w:rsidRDefault="000A5418" w:rsidP="00C357AD">
      <w:pPr>
        <w:jc w:val="both"/>
      </w:pPr>
    </w:p>
    <w:p w:rsidR="00C61EE1" w:rsidRDefault="00C61EE1" w:rsidP="00C357AD">
      <w:pPr>
        <w:jc w:val="both"/>
        <w:rPr>
          <w:b/>
        </w:rPr>
      </w:pPr>
    </w:p>
    <w:p w:rsidR="006A02CF" w:rsidRDefault="006A02CF" w:rsidP="00C357AD">
      <w:pPr>
        <w:jc w:val="both"/>
        <w:rPr>
          <w:b/>
        </w:rPr>
      </w:pPr>
      <w:r>
        <w:rPr>
          <w:b/>
        </w:rPr>
        <w:t>APT Preliminary Views:</w:t>
      </w:r>
    </w:p>
    <w:p w:rsidR="006A02CF" w:rsidRPr="00F657D7" w:rsidRDefault="006A02CF" w:rsidP="00C357AD">
      <w:pPr>
        <w:jc w:val="both"/>
        <w:rPr>
          <w:rFonts w:eastAsiaTheme="minorEastAsia"/>
          <w:b/>
          <w:lang w:eastAsia="ko-KR"/>
        </w:rPr>
      </w:pPr>
    </w:p>
    <w:p w:rsidR="006A02CF" w:rsidRDefault="00177B2B" w:rsidP="00C357AD">
      <w:pPr>
        <w:jc w:val="both"/>
        <w:rPr>
          <w:b/>
        </w:rPr>
      </w:pPr>
      <w:r>
        <w:rPr>
          <w:lang w:val="en-AU"/>
        </w:rPr>
        <w:t xml:space="preserve">APT Members support </w:t>
      </w:r>
      <w:r>
        <w:rPr>
          <w:b/>
          <w:lang w:val="en-AU"/>
        </w:rPr>
        <w:t xml:space="preserve">Method B </w:t>
      </w:r>
      <w:r w:rsidRPr="00462F36">
        <w:rPr>
          <w:lang w:val="en-AU"/>
        </w:rPr>
        <w:t>in the current draft CPM report</w:t>
      </w:r>
      <w:r>
        <w:rPr>
          <w:lang w:val="en-AU"/>
        </w:rPr>
        <w:t xml:space="preserve"> which proposes the </w:t>
      </w:r>
      <w:r>
        <w:rPr>
          <w:snapToGrid w:val="0"/>
        </w:rPr>
        <w:t xml:space="preserve">revision of Resolution </w:t>
      </w:r>
      <w:r w:rsidRPr="00B563D1">
        <w:rPr>
          <w:b/>
          <w:snapToGrid w:val="0"/>
        </w:rPr>
        <w:t>646 (Rev.WRC-12)</w:t>
      </w:r>
      <w:r>
        <w:rPr>
          <w:snapToGrid w:val="0"/>
        </w:rPr>
        <w:t xml:space="preserve"> for regional harmonization of frequency bands/ranges for future deployment of broadband PPDR.</w:t>
      </w:r>
    </w:p>
    <w:p w:rsidR="006A02CF" w:rsidRDefault="006A02CF" w:rsidP="00C357AD">
      <w:pPr>
        <w:jc w:val="both"/>
        <w:rPr>
          <w:b/>
        </w:rPr>
      </w:pPr>
    </w:p>
    <w:p w:rsidR="00D36655" w:rsidRDefault="006A02CF" w:rsidP="00C357AD">
      <w:pPr>
        <w:jc w:val="both"/>
        <w:rPr>
          <w:rFonts w:eastAsiaTheme="minorEastAsia"/>
          <w:b/>
          <w:lang w:eastAsia="ko-KR"/>
        </w:rPr>
      </w:pPr>
      <w:r>
        <w:rPr>
          <w:b/>
        </w:rPr>
        <w:t>Other Views:</w:t>
      </w:r>
    </w:p>
    <w:p w:rsidR="00B563D1" w:rsidRPr="00B563D1" w:rsidRDefault="00B563D1" w:rsidP="00C357AD">
      <w:pPr>
        <w:jc w:val="both"/>
        <w:rPr>
          <w:rFonts w:eastAsiaTheme="minorEastAsia"/>
          <w:b/>
          <w:lang w:eastAsia="ko-KR"/>
        </w:rPr>
      </w:pPr>
    </w:p>
    <w:p w:rsidR="00177B2B" w:rsidRPr="00B563D1" w:rsidRDefault="00177B2B" w:rsidP="00B563D1">
      <w:pPr>
        <w:spacing w:after="120" w:line="276" w:lineRule="auto"/>
        <w:jc w:val="both"/>
        <w:rPr>
          <w:rFonts w:eastAsiaTheme="minorEastAsia"/>
          <w:snapToGrid w:val="0"/>
          <w:lang w:eastAsia="ko-KR"/>
        </w:rPr>
      </w:pPr>
      <w:r>
        <w:rPr>
          <w:rFonts w:eastAsiaTheme="minorEastAsia" w:hint="eastAsia"/>
          <w:snapToGrid w:val="0"/>
          <w:lang w:eastAsia="ko-KR"/>
        </w:rPr>
        <w:t>Some APT Members are of the view that d</w:t>
      </w:r>
      <w:r w:rsidRPr="00DE32AD">
        <w:rPr>
          <w:snapToGrid w:val="0"/>
        </w:rPr>
        <w:t xml:space="preserve">ifferent amounts of available spectrum may be </w:t>
      </w:r>
      <w:r>
        <w:rPr>
          <w:snapToGrid w:val="0"/>
        </w:rPr>
        <w:t xml:space="preserve">considered </w:t>
      </w:r>
      <w:r w:rsidRPr="00DE32AD">
        <w:rPr>
          <w:snapToGrid w:val="0"/>
        </w:rPr>
        <w:t xml:space="preserve">within bands included in Resolution </w:t>
      </w:r>
      <w:r w:rsidR="00B563D1" w:rsidRPr="00BE6693">
        <w:rPr>
          <w:b/>
          <w:lang w:val="en-GB"/>
        </w:rPr>
        <w:t>646 (WRC-12)</w:t>
      </w:r>
      <w:r w:rsidRPr="00DE32AD">
        <w:rPr>
          <w:snapToGrid w:val="0"/>
        </w:rPr>
        <w:t xml:space="preserve"> by APT Members depending on their national circumstances. This will provide flexibility to decide the amount of spectrum and the frequency arrangement that best meets their overall national broadband PPDR requirements</w:t>
      </w:r>
      <w:r>
        <w:rPr>
          <w:snapToGrid w:val="0"/>
        </w:rPr>
        <w:t>.</w:t>
      </w:r>
    </w:p>
    <w:p w:rsidR="00177B2B" w:rsidRDefault="00177B2B" w:rsidP="00177B2B">
      <w:pPr>
        <w:spacing w:after="120"/>
        <w:jc w:val="both"/>
        <w:rPr>
          <w:lang w:val="en-GB"/>
        </w:rPr>
      </w:pPr>
      <w:r w:rsidRPr="00BE6693">
        <w:rPr>
          <w:lang w:val="en-GB"/>
        </w:rPr>
        <w:t xml:space="preserve">Some APT Members are of the view that the band 806-824/851-869 MHz (or parts thereof), which is included in Resolution </w:t>
      </w:r>
      <w:r w:rsidRPr="00BE6693">
        <w:rPr>
          <w:b/>
          <w:lang w:val="en-GB"/>
        </w:rPr>
        <w:t xml:space="preserve">646 (WRC-12), </w:t>
      </w:r>
      <w:r w:rsidRPr="00BE6693">
        <w:rPr>
          <w:lang w:val="en-GB"/>
        </w:rPr>
        <w:t>should be the regionally harmonised band for broadband PPDR use in Region 3.</w:t>
      </w:r>
    </w:p>
    <w:p w:rsidR="00177B2B" w:rsidRDefault="00177B2B" w:rsidP="00177B2B">
      <w:pPr>
        <w:spacing w:after="120"/>
        <w:jc w:val="both"/>
        <w:rPr>
          <w:lang w:val="en-GB"/>
        </w:rPr>
      </w:pPr>
      <w:r>
        <w:rPr>
          <w:rFonts w:eastAsiaTheme="minorEastAsia" w:hint="eastAsia"/>
          <w:lang w:val="en-GB" w:eastAsia="ko-KR"/>
        </w:rPr>
        <w:t>S</w:t>
      </w:r>
      <w:r>
        <w:rPr>
          <w:lang w:val="en-GB"/>
        </w:rPr>
        <w:t>ome</w:t>
      </w:r>
      <w:r w:rsidRPr="00BE6693">
        <w:rPr>
          <w:lang w:val="en-GB"/>
        </w:rPr>
        <w:t xml:space="preserve"> APT Members </w:t>
      </w:r>
      <w:r>
        <w:rPr>
          <w:lang w:val="en-GB"/>
        </w:rPr>
        <w:t xml:space="preserve">are </w:t>
      </w:r>
      <w:r w:rsidRPr="00BE6693">
        <w:rPr>
          <w:lang w:val="en-GB"/>
        </w:rPr>
        <w:t>of the view that the band</w:t>
      </w:r>
      <w:r>
        <w:rPr>
          <w:lang w:val="en-GB"/>
        </w:rPr>
        <w:t>s</w:t>
      </w:r>
      <w:r w:rsidRPr="00BE6693">
        <w:rPr>
          <w:lang w:val="en-GB"/>
        </w:rPr>
        <w:t xml:space="preserve"> </w:t>
      </w:r>
      <w:r>
        <w:rPr>
          <w:lang w:val="en-GB"/>
        </w:rPr>
        <w:t xml:space="preserve">406.1-430 MHz and 440-470 MHz in addition to 806-824/851-869 MHz </w:t>
      </w:r>
      <w:r w:rsidRPr="00BE6693">
        <w:rPr>
          <w:lang w:val="en-GB"/>
        </w:rPr>
        <w:t xml:space="preserve">which </w:t>
      </w:r>
      <w:r>
        <w:rPr>
          <w:lang w:val="en-GB"/>
        </w:rPr>
        <w:t xml:space="preserve">are </w:t>
      </w:r>
      <w:r w:rsidRPr="00BE6693">
        <w:rPr>
          <w:lang w:val="en-GB"/>
        </w:rPr>
        <w:t xml:space="preserve">included in Resolution </w:t>
      </w:r>
      <w:r w:rsidRPr="00BE6693">
        <w:rPr>
          <w:b/>
          <w:lang w:val="en-GB"/>
        </w:rPr>
        <w:t xml:space="preserve">646 (WRC-12), </w:t>
      </w:r>
      <w:r w:rsidRPr="00BE6693">
        <w:rPr>
          <w:lang w:val="en-GB"/>
        </w:rPr>
        <w:t>should be the regionally harmonised band for broadband PPDR use in Region 3.</w:t>
      </w:r>
    </w:p>
    <w:p w:rsidR="00D36655" w:rsidRPr="00177B2B" w:rsidRDefault="00177B2B" w:rsidP="00177B2B">
      <w:pPr>
        <w:tabs>
          <w:tab w:val="left" w:pos="600"/>
        </w:tabs>
        <w:spacing w:after="120"/>
        <w:jc w:val="both"/>
        <w:rPr>
          <w:rFonts w:eastAsiaTheme="minorEastAsia"/>
          <w:lang w:val="en-NZ" w:eastAsia="ko-KR"/>
        </w:rPr>
      </w:pPr>
      <w:r w:rsidRPr="00BE6693">
        <w:rPr>
          <w:lang w:val="en-GB"/>
        </w:rPr>
        <w:t xml:space="preserve">Some APT Members also support other frequency bands than 806-824/851-869 MHz in the revision of </w:t>
      </w:r>
      <w:r w:rsidRPr="00331E8D">
        <w:rPr>
          <w:lang w:val="en-GB"/>
        </w:rPr>
        <w:t>the Resolution 646 in the draft CPM text</w:t>
      </w:r>
      <w:r w:rsidRPr="00331E8D">
        <w:rPr>
          <w:lang w:val="en-NZ"/>
        </w:rPr>
        <w:t xml:space="preserve"> including a wider frequency tuning range in the bands 698- 803 MHz and </w:t>
      </w:r>
      <w:r w:rsidRPr="00331E8D">
        <w:rPr>
          <w:lang w:val="en-GB"/>
        </w:rPr>
        <w:t>806-834/851-879 MHz</w:t>
      </w:r>
      <w:r w:rsidRPr="00331E8D">
        <w:rPr>
          <w:lang w:val="en-NZ"/>
        </w:rPr>
        <w:t xml:space="preserve"> as the regional harmonised range for broadband PPDR use in Region 3 into the re</w:t>
      </w:r>
      <w:bookmarkStart w:id="0" w:name="_GoBack"/>
      <w:bookmarkEnd w:id="0"/>
      <w:r w:rsidRPr="00331E8D">
        <w:rPr>
          <w:lang w:val="en-NZ"/>
        </w:rPr>
        <w:t>vised Resolution</w:t>
      </w:r>
      <w:r w:rsidRPr="00BE6693">
        <w:rPr>
          <w:lang w:val="en-NZ"/>
        </w:rPr>
        <w:t xml:space="preserve"> </w:t>
      </w:r>
      <w:r w:rsidRPr="00BE6693">
        <w:rPr>
          <w:b/>
          <w:lang w:val="en-NZ"/>
        </w:rPr>
        <w:t>646</w:t>
      </w:r>
      <w:r w:rsidR="00B563D1">
        <w:rPr>
          <w:rFonts w:eastAsiaTheme="minorEastAsia" w:hint="eastAsia"/>
          <w:b/>
          <w:lang w:val="en-NZ" w:eastAsia="ko-KR"/>
        </w:rPr>
        <w:t xml:space="preserve"> </w:t>
      </w:r>
      <w:r w:rsidR="00B563D1" w:rsidRPr="00BE6693">
        <w:rPr>
          <w:b/>
          <w:lang w:val="en-GB"/>
        </w:rPr>
        <w:t>(WRC-12)</w:t>
      </w:r>
      <w:r w:rsidRPr="00BE6693">
        <w:rPr>
          <w:lang w:val="en-NZ"/>
        </w:rPr>
        <w:t>.</w:t>
      </w:r>
    </w:p>
    <w:p w:rsidR="00177B2B" w:rsidRDefault="00177B2B" w:rsidP="00177B2B">
      <w:pPr>
        <w:spacing w:before="240" w:after="120"/>
        <w:jc w:val="both"/>
        <w:rPr>
          <w:lang w:val="en-GB"/>
        </w:rPr>
      </w:pPr>
      <w:r w:rsidRPr="00BE6693">
        <w:rPr>
          <w:lang w:val="en-GB"/>
        </w:rPr>
        <w:t xml:space="preserve">Some APT Members also support other frequency bands </w:t>
      </w:r>
      <w:r>
        <w:rPr>
          <w:lang w:val="en-GB"/>
        </w:rPr>
        <w:t xml:space="preserve">such as 174-205 MHz </w:t>
      </w:r>
      <w:r>
        <w:rPr>
          <w:rFonts w:eastAsiaTheme="minorEastAsia" w:hint="eastAsia"/>
          <w:lang w:val="en-GB" w:eastAsia="ko-KR"/>
        </w:rPr>
        <w:t xml:space="preserve">included in the draft CPM Report </w:t>
      </w:r>
      <w:r>
        <w:rPr>
          <w:lang w:val="en-GB"/>
        </w:rPr>
        <w:t xml:space="preserve">and 351-370 MHz </w:t>
      </w:r>
      <w:r>
        <w:rPr>
          <w:rFonts w:eastAsiaTheme="minorEastAsia" w:hint="eastAsia"/>
          <w:lang w:val="en-GB" w:eastAsia="ko-KR"/>
        </w:rPr>
        <w:t>included in the Recommendation</w:t>
      </w:r>
      <w:r w:rsidR="00B563D1">
        <w:rPr>
          <w:rFonts w:eastAsiaTheme="minorEastAsia" w:hint="eastAsia"/>
          <w:lang w:val="en-GB" w:eastAsia="ko-KR"/>
        </w:rPr>
        <w:t xml:space="preserve"> </w:t>
      </w:r>
      <w:r>
        <w:rPr>
          <w:rFonts w:eastAsiaTheme="minorEastAsia" w:hint="eastAsia"/>
          <w:lang w:val="en-GB" w:eastAsia="ko-KR"/>
        </w:rPr>
        <w:t>ITU-R M.2015</w:t>
      </w:r>
    </w:p>
    <w:p w:rsidR="00D36655" w:rsidRPr="00177B2B" w:rsidRDefault="00D36655" w:rsidP="00C357AD">
      <w:pPr>
        <w:jc w:val="both"/>
        <w:rPr>
          <w:b/>
          <w:lang w:val="en-GB"/>
        </w:rPr>
      </w:pPr>
    </w:p>
    <w:p w:rsidR="00BA72FF" w:rsidRPr="00B563D1" w:rsidRDefault="00B563D1" w:rsidP="00B563D1">
      <w:pPr>
        <w:jc w:val="center"/>
        <w:rPr>
          <w:rFonts w:eastAsiaTheme="minorEastAsia"/>
          <w:lang w:eastAsia="ko-KR"/>
        </w:rPr>
      </w:pPr>
      <w:r>
        <w:t>_________</w:t>
      </w:r>
    </w:p>
    <w:sectPr w:rsidR="00BA72FF" w:rsidRPr="00B563D1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1A7" w:rsidRDefault="000031A7">
      <w:r>
        <w:separator/>
      </w:r>
    </w:p>
  </w:endnote>
  <w:endnote w:type="continuationSeparator" w:id="0">
    <w:p w:rsidR="000031A7" w:rsidRDefault="0000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altName w:val="Times New Roman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D34D27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D34D27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D34D27" w:rsidRPr="002C7EA9">
      <w:rPr>
        <w:rStyle w:val="PageNumber"/>
      </w:rPr>
      <w:fldChar w:fldCharType="separate"/>
    </w:r>
    <w:r w:rsidR="00C61EE1">
      <w:rPr>
        <w:rStyle w:val="PageNumber"/>
        <w:noProof/>
      </w:rPr>
      <w:t>2</w:t>
    </w:r>
    <w:r w:rsidR="00D34D27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D34D27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D34D27" w:rsidRPr="002C7EA9">
      <w:rPr>
        <w:rStyle w:val="PageNumber"/>
      </w:rPr>
      <w:fldChar w:fldCharType="separate"/>
    </w:r>
    <w:r w:rsidR="00C61EE1">
      <w:rPr>
        <w:rStyle w:val="PageNumber"/>
        <w:noProof/>
      </w:rPr>
      <w:t>2</w:t>
    </w:r>
    <w:r w:rsidR="00D34D27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 w:rsidTr="00DA13F6">
      <w:trPr>
        <w:cantSplit/>
        <w:trHeight w:val="690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Pr="007B00DD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D13B41" w:rsidRPr="001167CA" w:rsidRDefault="00D13B41" w:rsidP="001167CA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Theme="minorEastAsia"/>
              <w:lang w:eastAsia="ko-KR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Pr="001167CA" w:rsidRDefault="0097693B" w:rsidP="00762576">
          <w:pPr>
            <w:rPr>
              <w:rFonts w:eastAsiaTheme="minorEastAsia"/>
              <w:b/>
              <w:lang w:eastAsia="ko-KR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1A7" w:rsidRDefault="000031A7">
      <w:r>
        <w:separator/>
      </w:r>
    </w:p>
  </w:footnote>
  <w:footnote w:type="continuationSeparator" w:id="0">
    <w:p w:rsidR="000031A7" w:rsidRDefault="00003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295D9B">
      <w:rPr>
        <w:lang w:eastAsia="ko-KR"/>
      </w:rPr>
      <w:t>15-</w:t>
    </w:r>
    <w:r w:rsidR="001167CA">
      <w:rPr>
        <w:rFonts w:eastAsiaTheme="minorEastAsia" w:hint="eastAsia"/>
        <w:lang w:eastAsia="ko-KR"/>
      </w:rPr>
      <w:t>4</w:t>
    </w:r>
    <w:r w:rsidR="008319BF">
      <w:rPr>
        <w:rFonts w:hint="eastAsia"/>
        <w:lang w:eastAsia="ko-KR"/>
      </w:rPr>
      <w:t>/</w:t>
    </w:r>
    <w:r w:rsidR="00BA72FF">
      <w:rPr>
        <w:lang w:eastAsia="ko-KR"/>
      </w:rPr>
      <w:t>OUT</w:t>
    </w:r>
    <w:r w:rsidR="00416F5D">
      <w:rPr>
        <w:lang w:eastAsia="ko-KR"/>
      </w:rPr>
      <w:t>-09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29E5BCB"/>
    <w:multiLevelType w:val="hybridMultilevel"/>
    <w:tmpl w:val="47D62D46"/>
    <w:lvl w:ilvl="0" w:tplc="F300D8AE">
      <w:start w:val="1"/>
      <w:numFmt w:val="lowerRoman"/>
      <w:lvlText w:val="(%1)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42EC1FDC"/>
    <w:multiLevelType w:val="hybridMultilevel"/>
    <w:tmpl w:val="E13C3642"/>
    <w:lvl w:ilvl="0" w:tplc="B276E9D8">
      <w:numFmt w:val="bullet"/>
      <w:lvlText w:val="–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0371C"/>
    <w:multiLevelType w:val="hybridMultilevel"/>
    <w:tmpl w:val="ADFC468C"/>
    <w:lvl w:ilvl="0" w:tplc="ABBCEBE2">
      <w:start w:val="1"/>
      <w:numFmt w:val="bullet"/>
      <w:lvlText w:val="-"/>
      <w:lvlJc w:val="left"/>
      <w:pPr>
        <w:ind w:left="75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618E2"/>
    <w:multiLevelType w:val="hybridMultilevel"/>
    <w:tmpl w:val="8BFEF3E0"/>
    <w:lvl w:ilvl="0" w:tplc="B276E9D8">
      <w:numFmt w:val="bullet"/>
      <w:lvlText w:val="–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2A64223"/>
    <w:multiLevelType w:val="hybridMultilevel"/>
    <w:tmpl w:val="11EA89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76FF5EE4"/>
    <w:multiLevelType w:val="hybridMultilevel"/>
    <w:tmpl w:val="40CE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11"/>
  </w:num>
  <w:num w:numId="11">
    <w:abstractNumId w:val="10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00566"/>
    <w:rsid w:val="000031A7"/>
    <w:rsid w:val="00017D59"/>
    <w:rsid w:val="0003595B"/>
    <w:rsid w:val="00036EBF"/>
    <w:rsid w:val="00044A11"/>
    <w:rsid w:val="00050C3D"/>
    <w:rsid w:val="000713CF"/>
    <w:rsid w:val="000756AE"/>
    <w:rsid w:val="000A5418"/>
    <w:rsid w:val="000C2E2E"/>
    <w:rsid w:val="000F517C"/>
    <w:rsid w:val="000F5540"/>
    <w:rsid w:val="001167CA"/>
    <w:rsid w:val="001539DD"/>
    <w:rsid w:val="00177B2B"/>
    <w:rsid w:val="00196568"/>
    <w:rsid w:val="001A2CF1"/>
    <w:rsid w:val="001A2F16"/>
    <w:rsid w:val="001B18C2"/>
    <w:rsid w:val="001B31C4"/>
    <w:rsid w:val="001B7D7B"/>
    <w:rsid w:val="001D5D7E"/>
    <w:rsid w:val="00215DCB"/>
    <w:rsid w:val="00254A1B"/>
    <w:rsid w:val="0028454D"/>
    <w:rsid w:val="00291C9E"/>
    <w:rsid w:val="002926D4"/>
    <w:rsid w:val="00295D9B"/>
    <w:rsid w:val="002A14B9"/>
    <w:rsid w:val="002C07DA"/>
    <w:rsid w:val="002C7EA9"/>
    <w:rsid w:val="002D15BA"/>
    <w:rsid w:val="003209E0"/>
    <w:rsid w:val="00342F20"/>
    <w:rsid w:val="003809C7"/>
    <w:rsid w:val="003935AC"/>
    <w:rsid w:val="003B6263"/>
    <w:rsid w:val="003C64A7"/>
    <w:rsid w:val="003D3FDA"/>
    <w:rsid w:val="003F082B"/>
    <w:rsid w:val="00416F5D"/>
    <w:rsid w:val="00420822"/>
    <w:rsid w:val="0045458F"/>
    <w:rsid w:val="004633B4"/>
    <w:rsid w:val="00473941"/>
    <w:rsid w:val="004B3553"/>
    <w:rsid w:val="004F383E"/>
    <w:rsid w:val="00530E8C"/>
    <w:rsid w:val="00532D8B"/>
    <w:rsid w:val="00545933"/>
    <w:rsid w:val="00557544"/>
    <w:rsid w:val="00572E9C"/>
    <w:rsid w:val="00587875"/>
    <w:rsid w:val="005D23EF"/>
    <w:rsid w:val="00607E2B"/>
    <w:rsid w:val="00623CE1"/>
    <w:rsid w:val="0063062B"/>
    <w:rsid w:val="00667229"/>
    <w:rsid w:val="00682BE5"/>
    <w:rsid w:val="00690FED"/>
    <w:rsid w:val="006939A5"/>
    <w:rsid w:val="006A02CF"/>
    <w:rsid w:val="006A4000"/>
    <w:rsid w:val="00712451"/>
    <w:rsid w:val="00732F08"/>
    <w:rsid w:val="0074190C"/>
    <w:rsid w:val="00762576"/>
    <w:rsid w:val="00791060"/>
    <w:rsid w:val="007A4069"/>
    <w:rsid w:val="007A507E"/>
    <w:rsid w:val="007B00DD"/>
    <w:rsid w:val="007B5626"/>
    <w:rsid w:val="0080570B"/>
    <w:rsid w:val="008148E1"/>
    <w:rsid w:val="008319BF"/>
    <w:rsid w:val="008D0E09"/>
    <w:rsid w:val="008F7213"/>
    <w:rsid w:val="0097693B"/>
    <w:rsid w:val="00993355"/>
    <w:rsid w:val="009A4A6D"/>
    <w:rsid w:val="009D186F"/>
    <w:rsid w:val="00A13265"/>
    <w:rsid w:val="00A643D6"/>
    <w:rsid w:val="00A71136"/>
    <w:rsid w:val="00AA474C"/>
    <w:rsid w:val="00AB4C6A"/>
    <w:rsid w:val="00AD7E5F"/>
    <w:rsid w:val="00B01AA1"/>
    <w:rsid w:val="00B30C81"/>
    <w:rsid w:val="00B44A44"/>
    <w:rsid w:val="00B4793B"/>
    <w:rsid w:val="00B563D1"/>
    <w:rsid w:val="00B577C8"/>
    <w:rsid w:val="00BA72FF"/>
    <w:rsid w:val="00BB2DD9"/>
    <w:rsid w:val="00C15633"/>
    <w:rsid w:val="00C15799"/>
    <w:rsid w:val="00C357AD"/>
    <w:rsid w:val="00C6069C"/>
    <w:rsid w:val="00C61EE1"/>
    <w:rsid w:val="00C74377"/>
    <w:rsid w:val="00CD5431"/>
    <w:rsid w:val="00CF2491"/>
    <w:rsid w:val="00D05805"/>
    <w:rsid w:val="00D1252E"/>
    <w:rsid w:val="00D13B41"/>
    <w:rsid w:val="00D34D27"/>
    <w:rsid w:val="00D36655"/>
    <w:rsid w:val="00D4633B"/>
    <w:rsid w:val="00D57772"/>
    <w:rsid w:val="00D75A4D"/>
    <w:rsid w:val="00D8478B"/>
    <w:rsid w:val="00D86151"/>
    <w:rsid w:val="00DA13F6"/>
    <w:rsid w:val="00DA7595"/>
    <w:rsid w:val="00DB0A68"/>
    <w:rsid w:val="00DB53B0"/>
    <w:rsid w:val="00DC43A3"/>
    <w:rsid w:val="00DD7C09"/>
    <w:rsid w:val="00E0124F"/>
    <w:rsid w:val="00E674D3"/>
    <w:rsid w:val="00E70FD0"/>
    <w:rsid w:val="00E84D4E"/>
    <w:rsid w:val="00EA54F7"/>
    <w:rsid w:val="00F657D7"/>
    <w:rsid w:val="00F84067"/>
    <w:rsid w:val="00F8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F548D9-4FA6-42C6-9A01-5FDB03B3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FootnoteReference">
    <w:name w:val="footnote reference"/>
    <w:basedOn w:val="DefaultParagraphFont"/>
    <w:rsid w:val="00177B2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177B2B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177B2B"/>
    <w:rPr>
      <w:rFonts w:eastAsia="Times New Roman"/>
      <w:sz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177B2B"/>
    <w:pPr>
      <w:ind w:leftChars="400" w:left="840"/>
    </w:pPr>
  </w:style>
  <w:style w:type="character" w:customStyle="1" w:styleId="ListParagraphChar">
    <w:name w:val="List Paragraph Char"/>
    <w:link w:val="ListParagraph"/>
    <w:uiPriority w:val="34"/>
    <w:locked/>
    <w:rsid w:val="00177B2B"/>
    <w:rPr>
      <w:rFonts w:eastAsia="BatangChe"/>
      <w:sz w:val="24"/>
      <w:szCs w:val="24"/>
    </w:rPr>
  </w:style>
  <w:style w:type="paragraph" w:customStyle="1" w:styleId="BULLET">
    <w:name w:val="BULLET"/>
    <w:basedOn w:val="Normal"/>
    <w:autoRedefine/>
    <w:rsid w:val="00177B2B"/>
    <w:pPr>
      <w:tabs>
        <w:tab w:val="left" w:pos="720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120"/>
      <w:jc w:val="both"/>
    </w:pPr>
    <w:rPr>
      <w:rFonts w:eastAsia="Times New Roman"/>
      <w:bCs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177B2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</cp:revision>
  <cp:lastPrinted>2004-07-28T02:14:00Z</cp:lastPrinted>
  <dcterms:created xsi:type="dcterms:W3CDTF">2015-02-13T07:30:00Z</dcterms:created>
  <dcterms:modified xsi:type="dcterms:W3CDTF">2015-04-08T07:21:00Z</dcterms:modified>
</cp:coreProperties>
</file>