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5C" w:rsidRDefault="00B80254" w:rsidP="00B80254">
      <w:pPr>
        <w:pStyle w:val="Annextitle"/>
        <w:rPr>
          <w:lang w:val="en-US"/>
        </w:rPr>
      </w:pPr>
      <w:r>
        <w:rPr>
          <w:lang w:val="en-US"/>
        </w:rPr>
        <w:t>Proposed new items for next WRC</w:t>
      </w:r>
    </w:p>
    <w:tbl>
      <w:tblPr>
        <w:tblStyle w:val="TableGrid1"/>
        <w:tblW w:w="14170" w:type="dxa"/>
        <w:tblLayout w:type="fixed"/>
        <w:tblLook w:val="04A0"/>
      </w:tblPr>
      <w:tblGrid>
        <w:gridCol w:w="1838"/>
        <w:gridCol w:w="12332"/>
      </w:tblGrid>
      <w:tr w:rsidR="00042C5C" w:rsidRPr="00012E93" w:rsidTr="005F187A">
        <w:trPr>
          <w:tblHeader/>
        </w:trPr>
        <w:tc>
          <w:tcPr>
            <w:tcW w:w="1838" w:type="dxa"/>
          </w:tcPr>
          <w:p w:rsidR="00042C5C" w:rsidRPr="00012E93" w:rsidRDefault="00042C5C" w:rsidP="00C91E8F">
            <w:pPr>
              <w:pStyle w:val="Tablehead"/>
            </w:pPr>
            <w:r w:rsidRPr="00012E93">
              <w:t xml:space="preserve">Proposal </w:t>
            </w:r>
          </w:p>
        </w:tc>
        <w:tc>
          <w:tcPr>
            <w:tcW w:w="12332" w:type="dxa"/>
          </w:tcPr>
          <w:p w:rsidR="00042C5C" w:rsidRPr="00012E93" w:rsidRDefault="00042C5C" w:rsidP="00C91E8F">
            <w:pPr>
              <w:pStyle w:val="Tablehead"/>
              <w:rPr>
                <w:bCs/>
                <w:lang w:val="en-US"/>
              </w:rPr>
            </w:pPr>
            <w:r w:rsidRPr="00012E93">
              <w:rPr>
                <w:bCs/>
                <w:lang w:val="en-US"/>
              </w:rPr>
              <w:t xml:space="preserve">Description </w:t>
            </w:r>
          </w:p>
        </w:tc>
      </w:tr>
      <w:tr w:rsidR="00042C5C" w:rsidRPr="00012E93" w:rsidTr="00711EE0">
        <w:tc>
          <w:tcPr>
            <w:tcW w:w="14170" w:type="dxa"/>
            <w:gridSpan w:val="2"/>
          </w:tcPr>
          <w:p w:rsidR="00042C5C" w:rsidRPr="000562A1" w:rsidRDefault="00042C5C" w:rsidP="00711EE0">
            <w:pPr>
              <w:tabs>
                <w:tab w:val="clear" w:pos="1134"/>
                <w:tab w:val="clear" w:pos="1871"/>
                <w:tab w:val="clear" w:pos="2268"/>
              </w:tabs>
              <w:overflowPunct/>
              <w:autoSpaceDE/>
              <w:autoSpaceDN/>
              <w:adjustRightInd/>
              <w:spacing w:before="0"/>
              <w:textAlignment w:val="auto"/>
              <w:rPr>
                <w:b/>
                <w:bCs/>
                <w:szCs w:val="24"/>
                <w:highlight w:val="green"/>
                <w:lang w:val="en-US"/>
              </w:rPr>
            </w:pPr>
            <w:r w:rsidRPr="000562A1">
              <w:rPr>
                <w:b/>
                <w:bCs/>
                <w:szCs w:val="24"/>
                <w:highlight w:val="green"/>
                <w:lang w:val="en-US" w:eastAsia="zh-CN"/>
              </w:rPr>
              <w:t>Automatic identification system (AIS)</w:t>
            </w:r>
          </w:p>
        </w:tc>
      </w:tr>
      <w:tr w:rsidR="00042C5C" w:rsidRPr="00012E93" w:rsidTr="00711EE0">
        <w:tc>
          <w:tcPr>
            <w:tcW w:w="1838" w:type="dxa"/>
          </w:tcPr>
          <w:p w:rsidR="00042C5C" w:rsidRPr="00012E93" w:rsidRDefault="00042C5C" w:rsidP="00C91E8F">
            <w:pPr>
              <w:pStyle w:val="Tabletext"/>
              <w:rPr>
                <w:lang w:val="en-US"/>
              </w:rPr>
            </w:pPr>
            <w:r w:rsidRPr="00012E93">
              <w:rPr>
                <w:lang w:val="en-US"/>
              </w:rPr>
              <w:t>ASP/32A24/10</w:t>
            </w:r>
          </w:p>
        </w:tc>
        <w:tc>
          <w:tcPr>
            <w:tcW w:w="12332" w:type="dxa"/>
          </w:tcPr>
          <w:p w:rsidR="00042C5C" w:rsidRPr="00012E93" w:rsidRDefault="00042C5C" w:rsidP="00C91E8F">
            <w:pPr>
              <w:pStyle w:val="Tabletext"/>
              <w:rPr>
                <w:lang w:val="en-US" w:eastAsia="zh-CN"/>
              </w:rPr>
            </w:pPr>
            <w:r w:rsidRPr="00012E93">
              <w:rPr>
                <w:lang w:val="en-US" w:eastAsia="ko-KR"/>
              </w:rPr>
              <w:t>1.</w:t>
            </w:r>
            <w:r w:rsidRPr="00012E93">
              <w:rPr>
                <w:lang w:val="en-US" w:eastAsia="zh-CN"/>
              </w:rPr>
              <w:t>6</w:t>
            </w:r>
            <w:r w:rsidRPr="00012E93">
              <w:rPr>
                <w:lang w:val="en-US"/>
              </w:rPr>
              <w:tab/>
            </w:r>
            <w:r w:rsidRPr="00012E93">
              <w:rPr>
                <w:lang w:val="en-US" w:eastAsia="zh-CN"/>
              </w:rPr>
              <w:t xml:space="preserve">to consider possible frequency requirement and regulatory procedures for protecting the automatic identification system (AIS) and supporting novel devices using AIS technology, in accordance with Resolution </w:t>
            </w:r>
            <w:r w:rsidRPr="00012E93">
              <w:rPr>
                <w:b/>
                <w:lang w:val="en-US" w:eastAsia="zh-CN"/>
              </w:rPr>
              <w:t>[ASP-F10-AIS] (WRC</w:t>
            </w:r>
            <w:r w:rsidRPr="00012E93">
              <w:rPr>
                <w:b/>
                <w:lang w:val="en-US" w:eastAsia="zh-CN"/>
              </w:rPr>
              <w:noBreakHyphen/>
              <w:t>15)</w:t>
            </w:r>
            <w:r w:rsidRPr="00012E93">
              <w:rPr>
                <w:b/>
                <w:lang w:val="en-US" w:eastAsia="ja-JP"/>
              </w:rPr>
              <w:t xml:space="preserve"> (Attachment 6)</w:t>
            </w:r>
            <w:r w:rsidRPr="00012E93">
              <w:rPr>
                <w:lang w:val="en-US" w:eastAsia="zh-CN"/>
              </w:rPr>
              <w:t>;</w:t>
            </w:r>
          </w:p>
        </w:tc>
      </w:tr>
      <w:tr w:rsidR="00042C5C" w:rsidRPr="00012E93" w:rsidTr="00711EE0">
        <w:tc>
          <w:tcPr>
            <w:tcW w:w="1838" w:type="dxa"/>
          </w:tcPr>
          <w:p w:rsidR="00042C5C" w:rsidRPr="00012E93" w:rsidRDefault="00042C5C" w:rsidP="00C91E8F">
            <w:pPr>
              <w:pStyle w:val="Tabletext"/>
              <w:rPr>
                <w:lang w:val="en-US"/>
              </w:rPr>
            </w:pPr>
            <w:r w:rsidRPr="00012E93">
              <w:t>CHN/62A24/1</w:t>
            </w:r>
          </w:p>
        </w:tc>
        <w:tc>
          <w:tcPr>
            <w:tcW w:w="12332" w:type="dxa"/>
          </w:tcPr>
          <w:p w:rsidR="00042C5C" w:rsidRPr="00012E93" w:rsidRDefault="00042C5C" w:rsidP="00C91E8F">
            <w:pPr>
              <w:pStyle w:val="Tabletext"/>
              <w:rPr>
                <w:lang w:val="en-US"/>
              </w:rPr>
            </w:pPr>
            <w:r w:rsidRPr="00012E93">
              <w:rPr>
                <w:lang w:val="en-US"/>
              </w:rPr>
              <w:t>1.2</w:t>
            </w:r>
            <w:r w:rsidRPr="00012E93">
              <w:rPr>
                <w:lang w:val="en-US"/>
              </w:rPr>
              <w:tab/>
              <w:t xml:space="preserve">to consider possible frequency requirements and regulatory procedures for protecting the automatic identification system (AIS) and supporting novel devices using AIS technology, in accordance with Resolution </w:t>
            </w:r>
            <w:r w:rsidRPr="00012E93">
              <w:rPr>
                <w:b/>
                <w:lang w:val="en-US"/>
              </w:rPr>
              <w:t>[CHN-C10-NEW A.I._NOVEL AIS] (WRC</w:t>
            </w:r>
            <w:r w:rsidRPr="00012E93">
              <w:rPr>
                <w:b/>
                <w:lang w:val="en-US"/>
              </w:rPr>
              <w:noBreakHyphen/>
              <w:t>15)</w:t>
            </w:r>
            <w:r w:rsidRPr="00012E93">
              <w:rPr>
                <w:lang w:val="en-US"/>
              </w:rPr>
              <w:t>;</w:t>
            </w:r>
          </w:p>
        </w:tc>
      </w:tr>
      <w:tr w:rsidR="00042C5C" w:rsidRPr="00012E93" w:rsidTr="00711EE0">
        <w:tc>
          <w:tcPr>
            <w:tcW w:w="14170" w:type="dxa"/>
            <w:gridSpan w:val="2"/>
          </w:tcPr>
          <w:p w:rsidR="00042C5C" w:rsidRPr="000562A1" w:rsidRDefault="00042C5C" w:rsidP="00C91E8F">
            <w:pPr>
              <w:pStyle w:val="Tabletext"/>
              <w:rPr>
                <w:b/>
                <w:color w:val="FF0000"/>
                <w:highlight w:val="yellow"/>
                <w:lang w:val="en-US"/>
              </w:rPr>
            </w:pPr>
            <w:r w:rsidRPr="000562A1">
              <w:rPr>
                <w:b/>
                <w:color w:val="FF0000"/>
                <w:highlight w:val="yellow"/>
                <w:lang w:val="en-US"/>
              </w:rPr>
              <w:t>Appendix 30</w:t>
            </w:r>
          </w:p>
        </w:tc>
      </w:tr>
      <w:tr w:rsidR="00042C5C" w:rsidRPr="00012E93" w:rsidTr="00711EE0">
        <w:tc>
          <w:tcPr>
            <w:tcW w:w="1838" w:type="dxa"/>
          </w:tcPr>
          <w:p w:rsidR="00042C5C" w:rsidRPr="00E70629" w:rsidRDefault="00042C5C" w:rsidP="00E70629">
            <w:pPr>
              <w:pStyle w:val="Tabletext"/>
              <w:rPr>
                <w:color w:val="000000"/>
                <w:lang w:val="ru-RU"/>
              </w:rPr>
            </w:pPr>
            <w:r w:rsidRPr="00012E93">
              <w:rPr>
                <w:lang w:val="ru-RU"/>
              </w:rPr>
              <w:t>IAP/7A24A4/2</w:t>
            </w:r>
          </w:p>
        </w:tc>
        <w:tc>
          <w:tcPr>
            <w:tcW w:w="12332" w:type="dxa"/>
          </w:tcPr>
          <w:p w:rsidR="00042C5C" w:rsidRPr="00012E93" w:rsidRDefault="00042C5C" w:rsidP="00C91E8F">
            <w:pPr>
              <w:pStyle w:val="Tabletext"/>
              <w:rPr>
                <w:i/>
                <w:lang w:val="en-US"/>
              </w:rPr>
            </w:pPr>
            <w:r w:rsidRPr="00012E93">
              <w:rPr>
                <w:color w:val="000000"/>
                <w:lang w:val="en-US"/>
              </w:rPr>
              <w:t>1.[App30]</w:t>
            </w:r>
            <w:r w:rsidRPr="00012E93">
              <w:rPr>
                <w:b/>
                <w:color w:val="000000"/>
                <w:lang w:val="en-US"/>
              </w:rPr>
              <w:tab/>
            </w:r>
            <w:r w:rsidRPr="00012E93">
              <w:rPr>
                <w:color w:val="000000"/>
                <w:lang w:val="en-US" w:eastAsia="ja-JP"/>
              </w:rPr>
              <w:t xml:space="preserve">to </w:t>
            </w:r>
            <w:r w:rsidRPr="00012E93">
              <w:rPr>
                <w:lang w:val="en-US"/>
              </w:rPr>
              <w:t xml:space="preserve">review the need for the orbital position limitations on modifications to the BSS Plans and List contained in Annex 7 to Appendix </w:t>
            </w:r>
            <w:r w:rsidRPr="00012E93">
              <w:rPr>
                <w:b/>
                <w:lang w:val="en-US"/>
              </w:rPr>
              <w:t>30</w:t>
            </w:r>
            <w:r w:rsidRPr="00012E93">
              <w:rPr>
                <w:lang w:val="en-US"/>
              </w:rPr>
              <w:t xml:space="preserve">, conduct the necessary studies and consider possible modifications to Annex 7 to Appendix </w:t>
            </w:r>
            <w:r w:rsidRPr="00012E93">
              <w:rPr>
                <w:b/>
                <w:lang w:val="en-US"/>
              </w:rPr>
              <w:t>30</w:t>
            </w:r>
            <w:r w:rsidRPr="00012E93">
              <w:rPr>
                <w:lang w:val="en-US"/>
              </w:rPr>
              <w:t xml:space="preserve"> in accordance with</w:t>
            </w:r>
            <w:r w:rsidRPr="00012E93">
              <w:rPr>
                <w:b/>
                <w:lang w:val="en-US"/>
              </w:rPr>
              <w:t xml:space="preserve"> </w:t>
            </w:r>
            <w:r w:rsidRPr="00012E93">
              <w:rPr>
                <w:lang w:val="en-US"/>
              </w:rPr>
              <w:t>Resolution</w:t>
            </w:r>
            <w:r w:rsidRPr="00012E93">
              <w:rPr>
                <w:b/>
                <w:lang w:val="en-US"/>
              </w:rPr>
              <w:t xml:space="preserve"> [</w:t>
            </w:r>
            <w:r w:rsidRPr="00012E93">
              <w:rPr>
                <w:lang w:val="en-US"/>
              </w:rPr>
              <w:t>IAP-10D-APPENDIX30</w:t>
            </w:r>
            <w:r w:rsidRPr="00012E93">
              <w:rPr>
                <w:b/>
                <w:lang w:val="en-US"/>
              </w:rPr>
              <w:t>] (WRC</w:t>
            </w:r>
            <w:r w:rsidRPr="00012E93">
              <w:rPr>
                <w:b/>
                <w:lang w:val="en-US"/>
              </w:rPr>
              <w:noBreakHyphen/>
              <w:t>15)</w:t>
            </w:r>
            <w:r w:rsidRPr="00012E93">
              <w:rPr>
                <w:lang w:val="en-US"/>
              </w:rPr>
              <w:t>;</w:t>
            </w:r>
          </w:p>
        </w:tc>
      </w:tr>
      <w:tr w:rsidR="00042C5C" w:rsidRPr="00012E93" w:rsidTr="00711EE0">
        <w:tc>
          <w:tcPr>
            <w:tcW w:w="1838" w:type="dxa"/>
          </w:tcPr>
          <w:p w:rsidR="00042C5C" w:rsidRPr="00012E93" w:rsidRDefault="00042C5C" w:rsidP="00C91E8F">
            <w:pPr>
              <w:pStyle w:val="Tabletext"/>
              <w:rPr>
                <w:lang w:val="en-US"/>
              </w:rPr>
            </w:pPr>
            <w:r w:rsidRPr="00012E93">
              <w:rPr>
                <w:lang w:val="ru-RU"/>
              </w:rPr>
              <w:t>EUR/9A25/2</w:t>
            </w:r>
          </w:p>
        </w:tc>
        <w:tc>
          <w:tcPr>
            <w:tcW w:w="12332" w:type="dxa"/>
          </w:tcPr>
          <w:p w:rsidR="00042C5C" w:rsidRPr="00012E93" w:rsidRDefault="00042C5C" w:rsidP="00C91E8F">
            <w:pPr>
              <w:pStyle w:val="Tabletext"/>
              <w:rPr>
                <w:lang w:val="en-US"/>
              </w:rPr>
            </w:pPr>
            <w:r w:rsidRPr="00012E93">
              <w:rPr>
                <w:lang w:val="en-US"/>
              </w:rPr>
              <w:t>1.10</w:t>
            </w:r>
            <w:r w:rsidRPr="00012E93">
              <w:rPr>
                <w:lang w:val="en-US"/>
              </w:rPr>
              <w:tab/>
              <w:t xml:space="preserve">to consider a revision of Annex 7 to Appendix 30 of the Radio Regulations in accordance with Resolution </w:t>
            </w:r>
            <w:r w:rsidRPr="00012E93">
              <w:rPr>
                <w:b/>
                <w:lang w:val="en-US"/>
              </w:rPr>
              <w:t>[EUR-A25-10] (WRC-15)</w:t>
            </w:r>
            <w:r w:rsidRPr="00012E93">
              <w:rPr>
                <w:lang w:val="en-US"/>
              </w:rPr>
              <w:t>;</w:t>
            </w:r>
          </w:p>
        </w:tc>
      </w:tr>
      <w:tr w:rsidR="00042C5C" w:rsidRPr="00012E93" w:rsidTr="00711EE0">
        <w:tc>
          <w:tcPr>
            <w:tcW w:w="14170" w:type="dxa"/>
            <w:gridSpan w:val="2"/>
          </w:tcPr>
          <w:p w:rsidR="00042C5C" w:rsidRPr="000562A1" w:rsidRDefault="000562A1" w:rsidP="00C91E8F">
            <w:pPr>
              <w:pStyle w:val="Tabletext"/>
              <w:rPr>
                <w:highlight w:val="red"/>
                <w:lang w:val="en-US"/>
              </w:rPr>
            </w:pPr>
            <w:r>
              <w:rPr>
                <w:b/>
                <w:highlight w:val="red"/>
                <w:lang w:val="en-US"/>
              </w:rPr>
              <w:t xml:space="preserve">New allocation to </w:t>
            </w:r>
            <w:r w:rsidR="00042C5C" w:rsidRPr="000562A1">
              <w:rPr>
                <w:b/>
                <w:highlight w:val="red"/>
                <w:lang w:val="en-US"/>
              </w:rPr>
              <w:t>Amateur Service</w:t>
            </w:r>
          </w:p>
        </w:tc>
      </w:tr>
      <w:tr w:rsidR="00042C5C" w:rsidRPr="00012E93" w:rsidTr="00711EE0">
        <w:tc>
          <w:tcPr>
            <w:tcW w:w="1838" w:type="dxa"/>
          </w:tcPr>
          <w:p w:rsidR="00042C5C" w:rsidRPr="00012E93" w:rsidRDefault="00042C5C" w:rsidP="00C91E8F">
            <w:pPr>
              <w:pStyle w:val="Tabletext"/>
              <w:rPr>
                <w:lang w:val="en-US"/>
              </w:rPr>
            </w:pPr>
            <w:r w:rsidRPr="00012E93">
              <w:rPr>
                <w:lang w:val="ru-RU"/>
              </w:rPr>
              <w:t>ARB/25A22/2</w:t>
            </w:r>
          </w:p>
        </w:tc>
        <w:tc>
          <w:tcPr>
            <w:tcW w:w="12332" w:type="dxa"/>
          </w:tcPr>
          <w:p w:rsidR="00042C5C" w:rsidRPr="00012E93" w:rsidRDefault="00042C5C" w:rsidP="0012114E">
            <w:pPr>
              <w:pStyle w:val="Tabletext"/>
              <w:rPr>
                <w:lang w:val="en-US"/>
              </w:rPr>
            </w:pPr>
            <w:r w:rsidRPr="00012E93">
              <w:rPr>
                <w:lang w:val="en-US"/>
              </w:rPr>
              <w:t>1.2</w:t>
            </w:r>
            <w:r w:rsidRPr="00012E93">
              <w:rPr>
                <w:lang w:val="en-US"/>
              </w:rPr>
              <w:tab/>
              <w:t xml:space="preserve"> possible new allocation to the amateur service on a secondary basis within the band 50</w:t>
            </w:r>
            <w:r w:rsidRPr="00012E93">
              <w:rPr>
                <w:lang w:val="en-US"/>
              </w:rPr>
              <w:noBreakHyphen/>
              <w:t>54 MHz;</w:t>
            </w:r>
          </w:p>
        </w:tc>
      </w:tr>
      <w:tr w:rsidR="000562A1" w:rsidRPr="00012E93" w:rsidTr="00711EE0">
        <w:tc>
          <w:tcPr>
            <w:tcW w:w="1838" w:type="dxa"/>
          </w:tcPr>
          <w:p w:rsidR="000562A1" w:rsidRPr="00012E93" w:rsidRDefault="000562A1" w:rsidP="00F95F72">
            <w:pPr>
              <w:pStyle w:val="Tabletext"/>
              <w:rPr>
                <w:lang w:val="en-US"/>
              </w:rPr>
            </w:pPr>
            <w:r w:rsidRPr="00012E93">
              <w:rPr>
                <w:lang w:val="ru-RU"/>
              </w:rPr>
              <w:t>EUR/9A25/2</w:t>
            </w:r>
          </w:p>
        </w:tc>
        <w:tc>
          <w:tcPr>
            <w:tcW w:w="12332" w:type="dxa"/>
          </w:tcPr>
          <w:p w:rsidR="000562A1" w:rsidRPr="00012E93" w:rsidRDefault="000562A1" w:rsidP="005C4796">
            <w:pPr>
              <w:pStyle w:val="Tabletext"/>
              <w:rPr>
                <w:lang w:val="en-US"/>
              </w:rPr>
            </w:pPr>
            <w:r w:rsidRPr="00012E93">
              <w:rPr>
                <w:lang w:val="en-US"/>
              </w:rPr>
              <w:t>1.2</w:t>
            </w:r>
            <w:r w:rsidRPr="00012E93">
              <w:rPr>
                <w:lang w:val="en-US"/>
              </w:rPr>
              <w:tab/>
              <w:t xml:space="preserve"> allocation of the frequency band 50-54 MHz to the amateur service in accordance with Resolution </w:t>
            </w:r>
            <w:r w:rsidRPr="00012E93">
              <w:rPr>
                <w:b/>
                <w:lang w:val="en-US"/>
              </w:rPr>
              <w:t>[EUR-A25-2] (WRC-15)</w:t>
            </w:r>
            <w:r w:rsidRPr="00012E93">
              <w:rPr>
                <w:lang w:val="en-US"/>
              </w:rPr>
              <w:t>;</w:t>
            </w:r>
          </w:p>
        </w:tc>
      </w:tr>
      <w:tr w:rsidR="000562A1" w:rsidRPr="00012E93" w:rsidTr="00711EE0">
        <w:tc>
          <w:tcPr>
            <w:tcW w:w="1838" w:type="dxa"/>
          </w:tcPr>
          <w:p w:rsidR="000562A1" w:rsidRPr="00012E93" w:rsidRDefault="000562A1" w:rsidP="00C91E8F">
            <w:pPr>
              <w:pStyle w:val="Tabletext"/>
              <w:rPr>
                <w:lang w:val="en-US"/>
              </w:rPr>
            </w:pPr>
            <w:r w:rsidRPr="00012E93">
              <w:rPr>
                <w:lang w:val="ru-RU"/>
              </w:rPr>
              <w:t>EUR/9A25/2</w:t>
            </w:r>
          </w:p>
        </w:tc>
        <w:tc>
          <w:tcPr>
            <w:tcW w:w="12332" w:type="dxa"/>
          </w:tcPr>
          <w:p w:rsidR="000562A1" w:rsidRPr="00012E93" w:rsidRDefault="000562A1" w:rsidP="00C91E8F">
            <w:pPr>
              <w:pStyle w:val="Tabletext"/>
              <w:rPr>
                <w:lang w:val="en-US"/>
              </w:rPr>
            </w:pPr>
            <w:r w:rsidRPr="00012E93">
              <w:rPr>
                <w:lang w:val="en-US"/>
              </w:rPr>
              <w:t>1.4</w:t>
            </w:r>
            <w:r w:rsidRPr="00012E93">
              <w:rPr>
                <w:lang w:val="en-US"/>
              </w:rPr>
              <w:tab/>
              <w:t xml:space="preserve">to consider, based on studies regarding the spectrum requirements for the amateur service, a possible allocation to the amateur service in the frequency band 1 800-2 000 kHz in order to achieve global harmonization, in accordance with Resolution </w:t>
            </w:r>
            <w:r w:rsidRPr="00012E93">
              <w:rPr>
                <w:b/>
                <w:lang w:val="en-US"/>
              </w:rPr>
              <w:t>[EUR-A25-4] (WRC-15)</w:t>
            </w:r>
            <w:r w:rsidRPr="00012E93">
              <w:rPr>
                <w:lang w:val="en-US"/>
              </w:rPr>
              <w:t>;</w:t>
            </w:r>
          </w:p>
        </w:tc>
      </w:tr>
      <w:tr w:rsidR="000562A1" w:rsidRPr="00012E93" w:rsidTr="00711EE0">
        <w:tc>
          <w:tcPr>
            <w:tcW w:w="14170" w:type="dxa"/>
            <w:gridSpan w:val="2"/>
          </w:tcPr>
          <w:p w:rsidR="000562A1" w:rsidRPr="001D63AE" w:rsidRDefault="000562A1" w:rsidP="000562A1">
            <w:pPr>
              <w:pStyle w:val="Tabletext"/>
              <w:rPr>
                <w:b/>
                <w:lang w:val="en-US"/>
              </w:rPr>
            </w:pPr>
            <w:r w:rsidRPr="001D63AE">
              <w:rPr>
                <w:b/>
                <w:lang w:val="en-US"/>
              </w:rPr>
              <w:t xml:space="preserve">BSS and FSS </w:t>
            </w:r>
            <w:r>
              <w:rPr>
                <w:b/>
                <w:lang w:val="en-US"/>
              </w:rPr>
              <w:t>Plan in 17 to 31 GHz</w:t>
            </w:r>
          </w:p>
        </w:tc>
      </w:tr>
      <w:tr w:rsidR="000562A1" w:rsidRPr="00012E93" w:rsidTr="00711EE0">
        <w:tc>
          <w:tcPr>
            <w:tcW w:w="1838" w:type="dxa"/>
          </w:tcPr>
          <w:p w:rsidR="000562A1" w:rsidRPr="006A582C" w:rsidRDefault="000562A1" w:rsidP="00C91E8F">
            <w:pPr>
              <w:pStyle w:val="Tabletext"/>
            </w:pPr>
            <w:r w:rsidRPr="00012E93">
              <w:rPr>
                <w:lang w:val="en-US"/>
              </w:rPr>
              <w:t>AFS</w:t>
            </w:r>
            <w:r w:rsidRPr="006A582C">
              <w:t>/</w:t>
            </w:r>
            <w:r w:rsidRPr="00012E93">
              <w:rPr>
                <w:lang w:val="en-US"/>
              </w:rPr>
              <w:t>AGL</w:t>
            </w:r>
            <w:r w:rsidRPr="006A582C">
              <w:t>/</w:t>
            </w:r>
            <w:r w:rsidRPr="00012E93">
              <w:rPr>
                <w:lang w:val="en-US"/>
              </w:rPr>
              <w:t>BOT</w:t>
            </w:r>
            <w:r w:rsidRPr="006A582C">
              <w:t>/</w:t>
            </w:r>
            <w:r w:rsidRPr="00012E93">
              <w:rPr>
                <w:lang w:val="en-US"/>
              </w:rPr>
              <w:t>DRC</w:t>
            </w:r>
            <w:r w:rsidRPr="006A582C">
              <w:t>/</w:t>
            </w:r>
            <w:r w:rsidRPr="00012E93">
              <w:rPr>
                <w:lang w:val="en-US"/>
              </w:rPr>
              <w:t>LSO</w:t>
            </w:r>
            <w:r w:rsidRPr="006A582C">
              <w:t>/</w:t>
            </w:r>
            <w:r w:rsidRPr="00012E93">
              <w:rPr>
                <w:lang w:val="en-US"/>
              </w:rPr>
              <w:t>MAU</w:t>
            </w:r>
            <w:r w:rsidRPr="006A582C">
              <w:t>/</w:t>
            </w:r>
            <w:r w:rsidRPr="00012E93">
              <w:rPr>
                <w:lang w:val="en-US"/>
              </w:rPr>
              <w:t>MDG</w:t>
            </w:r>
            <w:r w:rsidRPr="006A582C">
              <w:t>/</w:t>
            </w:r>
            <w:r w:rsidRPr="00012E93">
              <w:rPr>
                <w:lang w:val="en-US"/>
              </w:rPr>
              <w:t>MOZ</w:t>
            </w:r>
            <w:r w:rsidRPr="006A582C">
              <w:t>/</w:t>
            </w:r>
            <w:r w:rsidRPr="00012E93">
              <w:rPr>
                <w:lang w:val="en-US"/>
              </w:rPr>
              <w:t>MWI</w:t>
            </w:r>
            <w:r w:rsidRPr="006A582C">
              <w:t>/</w:t>
            </w:r>
            <w:r w:rsidRPr="00012E93">
              <w:rPr>
                <w:lang w:val="en-US"/>
              </w:rPr>
              <w:t>NMB</w:t>
            </w:r>
            <w:r w:rsidRPr="006A582C">
              <w:t>/</w:t>
            </w:r>
            <w:r w:rsidRPr="00012E93">
              <w:rPr>
                <w:lang w:val="en-US"/>
              </w:rPr>
              <w:t>SEY</w:t>
            </w:r>
            <w:r w:rsidRPr="006A582C">
              <w:t>/</w:t>
            </w:r>
            <w:r w:rsidRPr="00012E93">
              <w:rPr>
                <w:lang w:val="en-US"/>
              </w:rPr>
              <w:t>SWZ</w:t>
            </w:r>
            <w:r w:rsidRPr="006A582C">
              <w:t>/</w:t>
            </w:r>
            <w:r w:rsidRPr="00012E93">
              <w:rPr>
                <w:lang w:val="en-US"/>
              </w:rPr>
              <w:t>TNZ</w:t>
            </w:r>
            <w:r w:rsidRPr="006A582C">
              <w:t>/</w:t>
            </w:r>
            <w:r w:rsidRPr="00012E93">
              <w:rPr>
                <w:lang w:val="en-US"/>
              </w:rPr>
              <w:t>ZAM</w:t>
            </w:r>
            <w:r w:rsidRPr="006A582C">
              <w:t>/</w:t>
            </w:r>
            <w:r w:rsidRPr="00012E93">
              <w:rPr>
                <w:lang w:val="en-US"/>
              </w:rPr>
              <w:t>ZMB</w:t>
            </w:r>
            <w:r w:rsidRPr="006A582C">
              <w:t>/130/</w:t>
            </w:r>
            <w:r w:rsidRPr="00012E93">
              <w:rPr>
                <w:lang w:val="en-US"/>
              </w:rPr>
              <w:t>A</w:t>
            </w:r>
            <w:r w:rsidRPr="006A582C">
              <w:t>25/</w:t>
            </w:r>
            <w:r w:rsidRPr="00012E93">
              <w:rPr>
                <w:lang w:val="en-US"/>
              </w:rPr>
              <w:t>A</w:t>
            </w:r>
            <w:r w:rsidRPr="006A582C">
              <w:t>1</w:t>
            </w:r>
          </w:p>
        </w:tc>
        <w:tc>
          <w:tcPr>
            <w:tcW w:w="12332" w:type="dxa"/>
          </w:tcPr>
          <w:p w:rsidR="000562A1" w:rsidRPr="00012E93" w:rsidRDefault="000562A1" w:rsidP="000562A1">
            <w:pPr>
              <w:pStyle w:val="Tabletext"/>
              <w:rPr>
                <w:lang w:val="en-US"/>
              </w:rPr>
            </w:pPr>
            <w:proofErr w:type="gramStart"/>
            <w:r w:rsidRPr="00012E93">
              <w:rPr>
                <w:lang w:val="en-US"/>
              </w:rPr>
              <w:t>to</w:t>
            </w:r>
            <w:proofErr w:type="gramEnd"/>
            <w:r w:rsidRPr="00012E93">
              <w:rPr>
                <w:lang w:val="en-US"/>
              </w:rPr>
              <w:t xml:space="preserve"> develop a frequency plan for BSS and FSS services in the frequency bands between 17 to 31 GHz (Ka-Band).</w:t>
            </w:r>
          </w:p>
        </w:tc>
      </w:tr>
      <w:tr w:rsidR="00D01DA8" w:rsidRPr="00012E93" w:rsidTr="00843445">
        <w:tc>
          <w:tcPr>
            <w:tcW w:w="14170" w:type="dxa"/>
            <w:gridSpan w:val="2"/>
          </w:tcPr>
          <w:p w:rsidR="00D01DA8" w:rsidRPr="00D01DA8" w:rsidRDefault="00D01DA8" w:rsidP="00CB6886">
            <w:pPr>
              <w:pStyle w:val="Tabletext"/>
              <w:rPr>
                <w:b/>
                <w:bCs/>
                <w:lang w:val="en-US"/>
              </w:rPr>
            </w:pPr>
            <w:r w:rsidRPr="00D01DA8">
              <w:rPr>
                <w:b/>
                <w:bCs/>
                <w:lang w:val="en-US"/>
              </w:rPr>
              <w:t>New GSO/NGSO FSS allocation in 32.3-33 GHz and 37.5-39.5 GHz</w:t>
            </w:r>
          </w:p>
        </w:tc>
      </w:tr>
      <w:tr w:rsidR="000562A1" w:rsidRPr="00012E93" w:rsidTr="00711EE0">
        <w:tc>
          <w:tcPr>
            <w:tcW w:w="1838" w:type="dxa"/>
          </w:tcPr>
          <w:p w:rsidR="000562A1" w:rsidRPr="00012E93" w:rsidRDefault="000562A1" w:rsidP="00C91E8F">
            <w:pPr>
              <w:pStyle w:val="Tabletext"/>
              <w:rPr>
                <w:lang w:val="ru-RU"/>
              </w:rPr>
            </w:pPr>
            <w:r w:rsidRPr="00012E93">
              <w:rPr>
                <w:lang w:val="ru-RU"/>
              </w:rPr>
              <w:t>IAP/7A24A9/2</w:t>
            </w:r>
          </w:p>
        </w:tc>
        <w:tc>
          <w:tcPr>
            <w:tcW w:w="12332" w:type="dxa"/>
          </w:tcPr>
          <w:p w:rsidR="000562A1" w:rsidRPr="00012E93" w:rsidRDefault="000562A1" w:rsidP="00CB6886">
            <w:pPr>
              <w:pStyle w:val="Tabletext"/>
              <w:rPr>
                <w:i/>
                <w:lang w:val="en-US"/>
              </w:rPr>
            </w:pPr>
            <w:r w:rsidRPr="00012E93">
              <w:rPr>
                <w:lang w:val="en-US"/>
              </w:rPr>
              <w:t>1[</w:t>
            </w:r>
            <w:proofErr w:type="spellStart"/>
            <w:r w:rsidRPr="00012E93">
              <w:rPr>
                <w:i/>
                <w:iCs/>
                <w:lang w:val="en-US"/>
              </w:rPr>
              <w:t>fss</w:t>
            </w:r>
            <w:proofErr w:type="spellEnd"/>
            <w:r w:rsidRPr="00012E93">
              <w:rPr>
                <w:lang w:val="en-US"/>
              </w:rPr>
              <w:t>]</w:t>
            </w:r>
            <w:r w:rsidRPr="00012E93">
              <w:rPr>
                <w:lang w:val="en-US"/>
              </w:rPr>
              <w:tab/>
              <w:t xml:space="preserve">To consider spectrum requirements for the development of the fixed-satellite service and possible regulatory actions, including possible additional spectrum allocations in these bands (32.3-33 GHz and 37.5-39.5 GHz) to the fixed-satellite service for both geostationary and non-geostationary orbit use, taking into account existing services and the results of ITU-R studies in accordance with Resolution </w:t>
            </w:r>
            <w:r w:rsidRPr="00012E93">
              <w:rPr>
                <w:b/>
                <w:lang w:val="en-US"/>
              </w:rPr>
              <w:t>[IAP-10I-FSS] (WRC</w:t>
            </w:r>
            <w:r>
              <w:rPr>
                <w:b/>
                <w:lang w:val="en-US"/>
              </w:rPr>
              <w:noBreakHyphen/>
            </w:r>
            <w:r w:rsidRPr="00012E93">
              <w:rPr>
                <w:b/>
                <w:lang w:val="en-US"/>
              </w:rPr>
              <w:t>15)</w:t>
            </w:r>
            <w:r w:rsidRPr="00012E93">
              <w:rPr>
                <w:lang w:val="en-US"/>
              </w:rPr>
              <w:t>.</w:t>
            </w:r>
          </w:p>
        </w:tc>
      </w:tr>
      <w:tr w:rsidR="00D01DA8" w:rsidRPr="00012E93" w:rsidTr="00A00643">
        <w:tc>
          <w:tcPr>
            <w:tcW w:w="14170" w:type="dxa"/>
            <w:gridSpan w:val="2"/>
          </w:tcPr>
          <w:p w:rsidR="00D01DA8" w:rsidRPr="00D01DA8" w:rsidRDefault="00D01DA8" w:rsidP="00AE5A6F">
            <w:pPr>
              <w:pStyle w:val="Tabletext"/>
              <w:rPr>
                <w:b/>
                <w:bCs/>
                <w:lang w:val="en-US"/>
              </w:rPr>
            </w:pPr>
            <w:r w:rsidRPr="00D01DA8">
              <w:rPr>
                <w:b/>
                <w:bCs/>
                <w:lang w:val="en-US"/>
              </w:rPr>
              <w:t xml:space="preserve">New FSS allocation in </w:t>
            </w:r>
            <w:r>
              <w:rPr>
                <w:b/>
                <w:bCs/>
                <w:lang w:val="en-US"/>
              </w:rPr>
              <w:t>51.4</w:t>
            </w:r>
            <w:r w:rsidRPr="00D01DA8">
              <w:rPr>
                <w:b/>
                <w:bCs/>
                <w:lang w:val="en-US"/>
              </w:rPr>
              <w:t>-</w:t>
            </w:r>
            <w:r>
              <w:rPr>
                <w:b/>
                <w:bCs/>
                <w:lang w:val="en-US"/>
              </w:rPr>
              <w:t>52.4</w:t>
            </w:r>
            <w:r w:rsidRPr="00D01DA8">
              <w:rPr>
                <w:b/>
                <w:bCs/>
                <w:lang w:val="en-US"/>
              </w:rPr>
              <w:t xml:space="preserve"> GHz and </w:t>
            </w:r>
            <w:r w:rsidR="00AE5A6F">
              <w:rPr>
                <w:b/>
                <w:bCs/>
                <w:lang w:val="en-US"/>
              </w:rPr>
              <w:t xml:space="preserve">regulatory framework for NGSO FSS in </w:t>
            </w:r>
            <w:r w:rsidRPr="00D01DA8">
              <w:rPr>
                <w:b/>
                <w:bCs/>
                <w:lang w:val="en-US"/>
              </w:rPr>
              <w:t>37.5-</w:t>
            </w:r>
            <w:r w:rsidR="00AE5A6F">
              <w:rPr>
                <w:b/>
                <w:bCs/>
                <w:lang w:val="en-US"/>
              </w:rPr>
              <w:t>52.4</w:t>
            </w:r>
            <w:r w:rsidRPr="00D01DA8">
              <w:rPr>
                <w:b/>
                <w:bCs/>
                <w:lang w:val="en-US"/>
              </w:rPr>
              <w:t xml:space="preserve"> GHz</w:t>
            </w:r>
          </w:p>
        </w:tc>
      </w:tr>
      <w:tr w:rsidR="00D01DA8" w:rsidRPr="00012E93" w:rsidTr="00711EE0">
        <w:tc>
          <w:tcPr>
            <w:tcW w:w="1838" w:type="dxa"/>
          </w:tcPr>
          <w:p w:rsidR="00D01DA8" w:rsidRPr="00012E93" w:rsidRDefault="00D01DA8" w:rsidP="00C91E8F">
            <w:pPr>
              <w:pStyle w:val="Tabletext"/>
              <w:rPr>
                <w:lang w:val="en-US"/>
              </w:rPr>
            </w:pPr>
            <w:r w:rsidRPr="00012E93">
              <w:rPr>
                <w:lang w:val="ru-RU"/>
              </w:rPr>
              <w:lastRenderedPageBreak/>
              <w:t>EUR/9A25/2</w:t>
            </w:r>
          </w:p>
        </w:tc>
        <w:tc>
          <w:tcPr>
            <w:tcW w:w="12332" w:type="dxa"/>
          </w:tcPr>
          <w:p w:rsidR="00D01DA8" w:rsidRPr="00012E93" w:rsidRDefault="00D01DA8" w:rsidP="00C91E8F">
            <w:pPr>
              <w:pStyle w:val="Tabletext"/>
              <w:rPr>
                <w:lang w:val="en-US"/>
              </w:rPr>
            </w:pPr>
            <w:r w:rsidRPr="00012E93">
              <w:rPr>
                <w:lang w:val="en-US"/>
              </w:rPr>
              <w:t>1.5</w:t>
            </w:r>
            <w:r w:rsidRPr="00012E93">
              <w:rPr>
                <w:lang w:val="en-US"/>
              </w:rPr>
              <w:tab/>
              <w:t xml:space="preserve">to consider an additional primary allocation to the fixed-satellite service (Earth-to-space) in the frequency band 51.4-52.4 GHz and regulatory framework related to Non-GSO FSS systems in the range 37.5-52.4 GHz in accordance with Resolution </w:t>
            </w:r>
            <w:r w:rsidRPr="00012E93">
              <w:rPr>
                <w:b/>
                <w:lang w:val="en-US"/>
              </w:rPr>
              <w:t>[EUR-A25-5] (WRC-15)</w:t>
            </w:r>
            <w:r w:rsidRPr="00012E93">
              <w:rPr>
                <w:lang w:val="en-US"/>
              </w:rPr>
              <w:t>;</w:t>
            </w:r>
          </w:p>
        </w:tc>
      </w:tr>
      <w:tr w:rsidR="00D01DA8" w:rsidRPr="00012E93" w:rsidTr="00711EE0">
        <w:tc>
          <w:tcPr>
            <w:tcW w:w="14170" w:type="dxa"/>
            <w:gridSpan w:val="2"/>
          </w:tcPr>
          <w:p w:rsidR="00D01DA8" w:rsidRPr="001D63AE" w:rsidRDefault="00D01DA8" w:rsidP="00C91E8F">
            <w:pPr>
              <w:pStyle w:val="Tabletext"/>
              <w:rPr>
                <w:b/>
                <w:lang w:val="en-US"/>
              </w:rPr>
            </w:pPr>
            <w:r w:rsidRPr="001D63AE">
              <w:rPr>
                <w:b/>
                <w:lang w:val="en-US"/>
              </w:rPr>
              <w:t>Earth stations on mobile platforms</w:t>
            </w:r>
          </w:p>
        </w:tc>
      </w:tr>
      <w:tr w:rsidR="00D01DA8" w:rsidRPr="00012E93" w:rsidTr="00711EE0">
        <w:tc>
          <w:tcPr>
            <w:tcW w:w="1838" w:type="dxa"/>
          </w:tcPr>
          <w:p w:rsidR="00D01DA8" w:rsidRPr="00012E93" w:rsidRDefault="00D01DA8" w:rsidP="00C91E8F">
            <w:pPr>
              <w:pStyle w:val="Tabletext"/>
              <w:rPr>
                <w:lang w:val="en-US"/>
              </w:rPr>
            </w:pPr>
            <w:r w:rsidRPr="00012E93">
              <w:rPr>
                <w:lang w:val="ru-RU"/>
              </w:rPr>
              <w:t>EUR/9A25/2</w:t>
            </w:r>
          </w:p>
        </w:tc>
        <w:tc>
          <w:tcPr>
            <w:tcW w:w="12332" w:type="dxa"/>
          </w:tcPr>
          <w:p w:rsidR="00D01DA8" w:rsidRPr="00012E93" w:rsidRDefault="00D01DA8" w:rsidP="00C91E8F">
            <w:pPr>
              <w:pStyle w:val="Tabletext"/>
              <w:rPr>
                <w:lang w:val="en-US"/>
              </w:rPr>
            </w:pPr>
            <w:r w:rsidRPr="00012E93">
              <w:rPr>
                <w:lang w:val="en-US"/>
              </w:rPr>
              <w:t>1.9</w:t>
            </w:r>
            <w:r w:rsidRPr="00012E93">
              <w:rPr>
                <w:lang w:val="en-US"/>
              </w:rPr>
              <w:tab/>
              <w:t xml:space="preserve">to consider the use of the frequency bands 17.7-19.7 GHz and 27.5-29.5 GHz by earth stations on mobile platforms communicating with geostationary space stations in the fixed-satellite service, in accordance with Resolution </w:t>
            </w:r>
            <w:r w:rsidRPr="00012E93">
              <w:rPr>
                <w:b/>
                <w:lang w:val="en-US"/>
              </w:rPr>
              <w:t>[EUR-A25-9] (WRC-15)</w:t>
            </w:r>
            <w:r w:rsidRPr="00012E93">
              <w:rPr>
                <w:lang w:val="en-US"/>
              </w:rPr>
              <w:t>;</w:t>
            </w:r>
          </w:p>
        </w:tc>
      </w:tr>
      <w:tr w:rsidR="00663DED" w:rsidRPr="00012E93" w:rsidTr="0071601D">
        <w:tc>
          <w:tcPr>
            <w:tcW w:w="14170" w:type="dxa"/>
            <w:gridSpan w:val="2"/>
          </w:tcPr>
          <w:p w:rsidR="00663DED" w:rsidRPr="00663DED" w:rsidRDefault="00663DED" w:rsidP="00735196">
            <w:pPr>
              <w:pStyle w:val="Tabletext"/>
              <w:rPr>
                <w:b/>
                <w:lang w:val="en-US"/>
              </w:rPr>
            </w:pPr>
            <w:r w:rsidRPr="00663DED">
              <w:rPr>
                <w:b/>
                <w:lang w:val="en-US"/>
              </w:rPr>
              <w:t xml:space="preserve">Earth stations on </w:t>
            </w:r>
            <w:r w:rsidRPr="00663DED">
              <w:rPr>
                <w:b/>
                <w:lang w:val="en-US"/>
              </w:rPr>
              <w:t xml:space="preserve">aircraft in FSS </w:t>
            </w:r>
            <w:r>
              <w:rPr>
                <w:b/>
                <w:lang w:val="en-US"/>
              </w:rPr>
              <w:t xml:space="preserve">/ </w:t>
            </w:r>
            <w:r w:rsidRPr="00663DED">
              <w:rPr>
                <w:b/>
                <w:lang w:val="en-US"/>
              </w:rPr>
              <w:t>12.75-13.25 GHz (Earth-to-space)</w:t>
            </w:r>
          </w:p>
        </w:tc>
      </w:tr>
      <w:tr w:rsidR="00663DED" w:rsidRPr="00012E93" w:rsidTr="00711EE0">
        <w:tc>
          <w:tcPr>
            <w:tcW w:w="1838" w:type="dxa"/>
          </w:tcPr>
          <w:p w:rsidR="00663DED" w:rsidRPr="00E70629" w:rsidRDefault="00663DED" w:rsidP="00E70629">
            <w:pPr>
              <w:pStyle w:val="Tabletext"/>
            </w:pPr>
            <w:r w:rsidRPr="00012E93">
              <w:rPr>
                <w:lang w:val="en-US"/>
              </w:rPr>
              <w:t>USA</w:t>
            </w:r>
            <w:r w:rsidRPr="00012E93">
              <w:rPr>
                <w:b/>
                <w:lang w:val="en-US"/>
              </w:rPr>
              <w:t>/</w:t>
            </w:r>
            <w:r w:rsidRPr="00012E93">
              <w:t>6A24/2</w:t>
            </w:r>
          </w:p>
        </w:tc>
        <w:tc>
          <w:tcPr>
            <w:tcW w:w="12332" w:type="dxa"/>
          </w:tcPr>
          <w:p w:rsidR="00663DED" w:rsidRPr="00012E93" w:rsidRDefault="00663DED" w:rsidP="00C91E8F">
            <w:pPr>
              <w:pStyle w:val="Tabletext"/>
              <w:rPr>
                <w:i/>
                <w:lang w:val="en-US"/>
              </w:rPr>
            </w:pPr>
            <w:proofErr w:type="gramStart"/>
            <w:r w:rsidRPr="00012E93">
              <w:rPr>
                <w:lang w:val="en-US"/>
              </w:rPr>
              <w:t>2.XX</w:t>
            </w:r>
            <w:proofErr w:type="gramEnd"/>
            <w:r w:rsidRPr="00012E93">
              <w:rPr>
                <w:lang w:val="en-US"/>
              </w:rPr>
              <w:tab/>
              <w:t xml:space="preserve">To develop regulatory means and associated conditions that would provide for the operation of earth stations on aircraft in the FSS in the frequency band 12.75-13.25 GHz (Earth-to-space) in accordance with Resolution </w:t>
            </w:r>
            <w:r w:rsidRPr="00012E93">
              <w:rPr>
                <w:b/>
                <w:lang w:val="en-US"/>
              </w:rPr>
              <w:t>[USA-A10-ESOA] (WRC</w:t>
            </w:r>
            <w:r w:rsidRPr="00012E93">
              <w:rPr>
                <w:b/>
                <w:lang w:val="en-US"/>
              </w:rPr>
              <w:noBreakHyphen/>
              <w:t>15)</w:t>
            </w:r>
            <w:r w:rsidRPr="00012E93">
              <w:rPr>
                <w:lang w:val="en-US"/>
              </w:rPr>
              <w:t>.</w:t>
            </w:r>
          </w:p>
        </w:tc>
      </w:tr>
      <w:tr w:rsidR="00663DED" w:rsidRPr="00012E93" w:rsidTr="00711EE0">
        <w:tc>
          <w:tcPr>
            <w:tcW w:w="14170" w:type="dxa"/>
            <w:gridSpan w:val="2"/>
          </w:tcPr>
          <w:p w:rsidR="00663DED" w:rsidRPr="001D63AE" w:rsidRDefault="00417128" w:rsidP="00417128">
            <w:pPr>
              <w:pStyle w:val="Tabletext"/>
              <w:rPr>
                <w:b/>
                <w:lang w:val="ru-RU"/>
              </w:rPr>
            </w:pPr>
            <w:r>
              <w:rPr>
                <w:b/>
                <w:lang w:val="en-US"/>
              </w:rPr>
              <w:t xml:space="preserve">New allocations to </w:t>
            </w:r>
            <w:r w:rsidR="00663DED" w:rsidRPr="001D63AE">
              <w:rPr>
                <w:b/>
                <w:lang w:val="ru-RU"/>
              </w:rPr>
              <w:t>E</w:t>
            </w:r>
            <w:r>
              <w:rPr>
                <w:b/>
                <w:lang w:val="en-US"/>
              </w:rPr>
              <w:t>ESS /  in 40-50 GHz</w:t>
            </w:r>
          </w:p>
        </w:tc>
      </w:tr>
      <w:tr w:rsidR="00663DED" w:rsidRPr="00012E93" w:rsidTr="00711EE0">
        <w:tc>
          <w:tcPr>
            <w:tcW w:w="1838" w:type="dxa"/>
          </w:tcPr>
          <w:p w:rsidR="00663DED" w:rsidRPr="00012E93" w:rsidRDefault="00663DED" w:rsidP="00C91E8F">
            <w:pPr>
              <w:pStyle w:val="Tabletext"/>
              <w:rPr>
                <w:lang w:val="en-US"/>
              </w:rPr>
            </w:pPr>
            <w:r w:rsidRPr="00012E93">
              <w:rPr>
                <w:lang w:val="ru-RU"/>
              </w:rPr>
              <w:t>IAP/7A24A7/1</w:t>
            </w:r>
            <w:r w:rsidRPr="00012E93">
              <w:rPr>
                <w:lang w:val="en-US"/>
              </w:rPr>
              <w:t xml:space="preserve"> </w:t>
            </w:r>
          </w:p>
          <w:p w:rsidR="00663DED" w:rsidRPr="00FE2D7D" w:rsidRDefault="00663DED" w:rsidP="00C91E8F">
            <w:pPr>
              <w:pStyle w:val="Tabletext"/>
              <w:rPr>
                <w:color w:val="00B0F0"/>
                <w:lang w:val="ru-RU"/>
              </w:rPr>
            </w:pPr>
            <w:r w:rsidRPr="00FE2D7D">
              <w:rPr>
                <w:color w:val="00B0F0"/>
                <w:lang w:val="en-US"/>
              </w:rPr>
              <w:t>WRC-23</w:t>
            </w:r>
          </w:p>
        </w:tc>
        <w:tc>
          <w:tcPr>
            <w:tcW w:w="12332" w:type="dxa"/>
          </w:tcPr>
          <w:p w:rsidR="00663DED" w:rsidRPr="00012E93" w:rsidRDefault="00663DED" w:rsidP="00C91E8F">
            <w:pPr>
              <w:pStyle w:val="Tabletext"/>
              <w:rPr>
                <w:i/>
                <w:lang w:val="en-US"/>
              </w:rPr>
            </w:pPr>
            <w:r w:rsidRPr="00012E93">
              <w:rPr>
                <w:lang w:val="en-US"/>
              </w:rPr>
              <w:t>2.[40-50]</w:t>
            </w:r>
            <w:r w:rsidRPr="00012E93">
              <w:rPr>
                <w:b/>
                <w:lang w:val="en-US"/>
              </w:rPr>
              <w:tab/>
            </w:r>
            <w:r w:rsidRPr="00012E93">
              <w:rPr>
                <w:lang w:val="en-US"/>
              </w:rPr>
              <w:t>to review the Table of Frequency Allocations with a view towards modifications to support the allocation of Earth exploration-satellite (active) service in the 40-50 MHz frequency range, in accordance with Resolution</w:t>
            </w:r>
            <w:r w:rsidRPr="00012E93">
              <w:rPr>
                <w:b/>
                <w:lang w:val="en-US"/>
              </w:rPr>
              <w:t xml:space="preserve"> [IAP</w:t>
            </w:r>
            <w:r w:rsidRPr="00012E93">
              <w:rPr>
                <w:b/>
                <w:lang w:val="en-US"/>
              </w:rPr>
              <w:noBreakHyphen/>
              <w:t>10G-40-50</w:t>
            </w:r>
            <w:r w:rsidRPr="00012E93">
              <w:rPr>
                <w:lang w:val="en-US"/>
              </w:rPr>
              <w:t xml:space="preserve">] </w:t>
            </w:r>
            <w:r w:rsidRPr="00012E93">
              <w:rPr>
                <w:b/>
                <w:lang w:val="en-US"/>
              </w:rPr>
              <w:t>(WRC</w:t>
            </w:r>
            <w:r w:rsidRPr="00012E93">
              <w:rPr>
                <w:b/>
                <w:lang w:val="en-US"/>
              </w:rPr>
              <w:noBreakHyphen/>
              <w:t>15)</w:t>
            </w:r>
            <w:r w:rsidRPr="00012E93">
              <w:rPr>
                <w:lang w:val="en-US"/>
              </w:rPr>
              <w:t>;</w:t>
            </w:r>
          </w:p>
        </w:tc>
      </w:tr>
      <w:tr w:rsidR="00FE2D7D" w:rsidRPr="00012E93" w:rsidTr="0044285F">
        <w:tc>
          <w:tcPr>
            <w:tcW w:w="14170" w:type="dxa"/>
            <w:gridSpan w:val="2"/>
          </w:tcPr>
          <w:p w:rsidR="00FE2D7D" w:rsidRPr="009C4AEC" w:rsidRDefault="009C4AEC" w:rsidP="00C91E8F">
            <w:pPr>
              <w:pStyle w:val="Tabletext"/>
              <w:rPr>
                <w:b/>
                <w:bCs/>
                <w:lang w:val="en-US"/>
              </w:rPr>
            </w:pPr>
            <w:r>
              <w:rPr>
                <w:b/>
                <w:bCs/>
                <w:lang w:val="en-US"/>
              </w:rPr>
              <w:t xml:space="preserve">Power limits </w:t>
            </w:r>
            <w:r w:rsidRPr="009C4AEC">
              <w:rPr>
                <w:b/>
                <w:bCs/>
                <w:lang w:val="en-US"/>
              </w:rPr>
              <w:t>in the 401-403 MHz and 399.9-400.05 MHz</w:t>
            </w:r>
          </w:p>
        </w:tc>
      </w:tr>
      <w:tr w:rsidR="00663DED" w:rsidRPr="00012E93" w:rsidTr="00711EE0">
        <w:tc>
          <w:tcPr>
            <w:tcW w:w="1838" w:type="dxa"/>
          </w:tcPr>
          <w:p w:rsidR="00663DED" w:rsidRPr="00FE2D7D" w:rsidRDefault="00663DED" w:rsidP="00C91E8F">
            <w:pPr>
              <w:pStyle w:val="Tabletext"/>
              <w:rPr>
                <w:bCs/>
                <w:lang w:val="en-US"/>
              </w:rPr>
            </w:pPr>
            <w:r w:rsidRPr="00FE2D7D">
              <w:rPr>
                <w:bCs/>
                <w:lang w:val="ru-RU"/>
              </w:rPr>
              <w:t>EUR/9A25/2</w:t>
            </w:r>
          </w:p>
        </w:tc>
        <w:tc>
          <w:tcPr>
            <w:tcW w:w="12332" w:type="dxa"/>
          </w:tcPr>
          <w:p w:rsidR="00663DED" w:rsidRPr="00012E93" w:rsidRDefault="00663DED" w:rsidP="00C91E8F">
            <w:pPr>
              <w:pStyle w:val="Tabletext"/>
              <w:rPr>
                <w:lang w:val="en-US"/>
              </w:rPr>
            </w:pPr>
            <w:r w:rsidRPr="00012E93">
              <w:rPr>
                <w:lang w:val="en-US"/>
              </w:rPr>
              <w:t>1.6</w:t>
            </w:r>
            <w:r w:rsidRPr="00012E93">
              <w:rPr>
                <w:lang w:val="en-US"/>
              </w:rPr>
              <w:tab/>
              <w:t xml:space="preserve">to consider establishment of mandatory power limits within maritime mobile satellite, meteorological satellite service or Earth exploration-satellite service in the 401-403 MHz and 399.9-400.05 MHz frequency bands, in accordance with Resolution </w:t>
            </w:r>
            <w:r w:rsidRPr="00012E93">
              <w:rPr>
                <w:b/>
                <w:lang w:val="en-US"/>
              </w:rPr>
              <w:t>[EUR-A25-6] (WRC-15)</w:t>
            </w:r>
            <w:r w:rsidRPr="00012E93">
              <w:rPr>
                <w:lang w:val="en-US"/>
              </w:rPr>
              <w:t>;</w:t>
            </w:r>
          </w:p>
        </w:tc>
      </w:tr>
      <w:tr w:rsidR="00663DED" w:rsidRPr="00012E93" w:rsidTr="00711EE0">
        <w:tc>
          <w:tcPr>
            <w:tcW w:w="14170" w:type="dxa"/>
            <w:gridSpan w:val="2"/>
          </w:tcPr>
          <w:p w:rsidR="00663DED" w:rsidRPr="001D63AE" w:rsidRDefault="00663DED" w:rsidP="00C91E8F">
            <w:pPr>
              <w:pStyle w:val="Tabletext"/>
              <w:rPr>
                <w:b/>
                <w:lang w:val="en-US"/>
              </w:rPr>
            </w:pPr>
            <w:r w:rsidRPr="001D63AE">
              <w:rPr>
                <w:b/>
                <w:lang w:val="en-US"/>
              </w:rPr>
              <w:t>Electronic news gathering</w:t>
            </w:r>
          </w:p>
        </w:tc>
      </w:tr>
      <w:tr w:rsidR="00663DED" w:rsidRPr="00012E93" w:rsidTr="00711EE0">
        <w:tc>
          <w:tcPr>
            <w:tcW w:w="1838" w:type="dxa"/>
          </w:tcPr>
          <w:p w:rsidR="00663DED" w:rsidRPr="006A582C" w:rsidRDefault="00663DED" w:rsidP="00C91E8F">
            <w:pPr>
              <w:pStyle w:val="Tabletext"/>
            </w:pPr>
            <w:r w:rsidRPr="00012E93">
              <w:rPr>
                <w:lang w:val="en-US"/>
              </w:rPr>
              <w:t>AFS</w:t>
            </w:r>
            <w:r w:rsidRPr="006A582C">
              <w:t>/</w:t>
            </w:r>
            <w:r w:rsidRPr="00012E93">
              <w:rPr>
                <w:lang w:val="en-US"/>
              </w:rPr>
              <w:t>AGL</w:t>
            </w:r>
            <w:r w:rsidRPr="006A582C">
              <w:t>/</w:t>
            </w:r>
            <w:r w:rsidRPr="00012E93">
              <w:rPr>
                <w:lang w:val="en-US"/>
              </w:rPr>
              <w:t>BOT</w:t>
            </w:r>
            <w:r w:rsidRPr="006A582C">
              <w:t>/</w:t>
            </w:r>
            <w:r w:rsidRPr="00012E93">
              <w:rPr>
                <w:lang w:val="en-US"/>
              </w:rPr>
              <w:t>DRC</w:t>
            </w:r>
            <w:r w:rsidRPr="006A582C">
              <w:t>/</w:t>
            </w:r>
            <w:r w:rsidRPr="00012E93">
              <w:rPr>
                <w:lang w:val="en-US"/>
              </w:rPr>
              <w:t>LSO</w:t>
            </w:r>
            <w:r w:rsidRPr="006A582C">
              <w:t>/</w:t>
            </w:r>
            <w:r w:rsidRPr="00012E93">
              <w:rPr>
                <w:lang w:val="en-US"/>
              </w:rPr>
              <w:t>MAU</w:t>
            </w:r>
            <w:r w:rsidRPr="006A582C">
              <w:t>/</w:t>
            </w:r>
            <w:r w:rsidRPr="00012E93">
              <w:rPr>
                <w:lang w:val="en-US"/>
              </w:rPr>
              <w:t>MDG</w:t>
            </w:r>
            <w:r w:rsidRPr="006A582C">
              <w:t>/</w:t>
            </w:r>
            <w:r w:rsidRPr="00012E93">
              <w:rPr>
                <w:lang w:val="en-US"/>
              </w:rPr>
              <w:t>MOZ</w:t>
            </w:r>
            <w:r w:rsidRPr="006A582C">
              <w:t>/</w:t>
            </w:r>
            <w:r w:rsidRPr="00012E93">
              <w:rPr>
                <w:lang w:val="en-US"/>
              </w:rPr>
              <w:t>MWI</w:t>
            </w:r>
            <w:r w:rsidRPr="006A582C">
              <w:t>/</w:t>
            </w:r>
            <w:r w:rsidRPr="00012E93">
              <w:rPr>
                <w:lang w:val="en-US"/>
              </w:rPr>
              <w:t>NMB</w:t>
            </w:r>
            <w:r w:rsidRPr="006A582C">
              <w:t>/</w:t>
            </w:r>
            <w:r w:rsidRPr="00012E93">
              <w:rPr>
                <w:lang w:val="en-US"/>
              </w:rPr>
              <w:t>SEY</w:t>
            </w:r>
            <w:r w:rsidRPr="006A582C">
              <w:t>/</w:t>
            </w:r>
            <w:r w:rsidRPr="00012E93">
              <w:rPr>
                <w:lang w:val="en-US"/>
              </w:rPr>
              <w:t>SWZ</w:t>
            </w:r>
            <w:r w:rsidRPr="006A582C">
              <w:t>/</w:t>
            </w:r>
            <w:r w:rsidRPr="00012E93">
              <w:rPr>
                <w:lang w:val="en-US"/>
              </w:rPr>
              <w:t>TNZ</w:t>
            </w:r>
            <w:r w:rsidRPr="006A582C">
              <w:t>/</w:t>
            </w:r>
            <w:r w:rsidRPr="00012E93">
              <w:rPr>
                <w:lang w:val="en-US"/>
              </w:rPr>
              <w:t>ZAM</w:t>
            </w:r>
            <w:r w:rsidRPr="006A582C">
              <w:t>/</w:t>
            </w:r>
            <w:r w:rsidRPr="00012E93">
              <w:rPr>
                <w:lang w:val="en-US"/>
              </w:rPr>
              <w:t>ZMB</w:t>
            </w:r>
            <w:r w:rsidRPr="006A582C">
              <w:t>/130/</w:t>
            </w:r>
            <w:r w:rsidRPr="00012E93">
              <w:rPr>
                <w:lang w:val="en-US"/>
              </w:rPr>
              <w:t>A</w:t>
            </w:r>
            <w:r w:rsidRPr="006A582C">
              <w:t>25/</w:t>
            </w:r>
            <w:r w:rsidRPr="00012E93">
              <w:rPr>
                <w:lang w:val="en-US"/>
              </w:rPr>
              <w:t>A</w:t>
            </w:r>
            <w:r w:rsidRPr="006A582C">
              <w:t>2</w:t>
            </w:r>
          </w:p>
        </w:tc>
        <w:tc>
          <w:tcPr>
            <w:tcW w:w="12332" w:type="dxa"/>
          </w:tcPr>
          <w:p w:rsidR="00663DED" w:rsidRPr="00012E93" w:rsidRDefault="00663DED" w:rsidP="00C91E8F">
            <w:pPr>
              <w:pStyle w:val="Tabletext"/>
              <w:rPr>
                <w:lang w:val="en-US"/>
              </w:rPr>
            </w:pPr>
            <w:r w:rsidRPr="00012E93">
              <w:rPr>
                <w:lang w:val="en-US"/>
              </w:rPr>
              <w:t xml:space="preserve">Studies on availability of frequency bands and/or tuning ranges for worldwide and/or regional harmonization and conditions for their use by terrestrial electronic news gathering: systems (Resolution </w:t>
            </w:r>
            <w:r w:rsidRPr="00012E93">
              <w:rPr>
                <w:b/>
                <w:lang w:val="en-US"/>
              </w:rPr>
              <w:t>ITU-R 59</w:t>
            </w:r>
            <w:r w:rsidRPr="00012E93">
              <w:rPr>
                <w:lang w:val="en-US"/>
              </w:rPr>
              <w:t>).</w:t>
            </w:r>
          </w:p>
          <w:p w:rsidR="00663DED" w:rsidRPr="00012E93" w:rsidRDefault="00663DED" w:rsidP="00C91E8F">
            <w:pPr>
              <w:pStyle w:val="Tabletext"/>
              <w:rPr>
                <w:lang w:val="en-US"/>
              </w:rPr>
            </w:pPr>
          </w:p>
        </w:tc>
      </w:tr>
      <w:tr w:rsidR="00663DED" w:rsidRPr="00012E93" w:rsidTr="00711EE0">
        <w:tc>
          <w:tcPr>
            <w:tcW w:w="14170" w:type="dxa"/>
            <w:gridSpan w:val="2"/>
          </w:tcPr>
          <w:p w:rsidR="00663DED" w:rsidRPr="00B50753" w:rsidRDefault="00B50753" w:rsidP="00B50753">
            <w:pPr>
              <w:pStyle w:val="Tabletext"/>
              <w:rPr>
                <w:b/>
                <w:highlight w:val="green"/>
                <w:lang w:val="en-US"/>
              </w:rPr>
            </w:pPr>
            <w:r w:rsidRPr="00B50753">
              <w:rPr>
                <w:b/>
                <w:highlight w:val="green"/>
                <w:lang w:val="en-US"/>
              </w:rPr>
              <w:t xml:space="preserve">GADSS - </w:t>
            </w:r>
            <w:r w:rsidR="00663DED" w:rsidRPr="00B50753">
              <w:rPr>
                <w:b/>
                <w:highlight w:val="green"/>
                <w:lang w:val="en-US"/>
              </w:rPr>
              <w:t>Global Aeronautical Distress and Safety System</w:t>
            </w:r>
          </w:p>
        </w:tc>
      </w:tr>
      <w:tr w:rsidR="00663DED" w:rsidRPr="00012E93" w:rsidTr="00711EE0">
        <w:tc>
          <w:tcPr>
            <w:tcW w:w="1838" w:type="dxa"/>
          </w:tcPr>
          <w:p w:rsidR="00663DED" w:rsidRPr="00012E93" w:rsidRDefault="00663DED" w:rsidP="00E70629">
            <w:pPr>
              <w:pStyle w:val="Tabletext"/>
              <w:rPr>
                <w:lang w:val="en-US"/>
              </w:rPr>
            </w:pPr>
            <w:r w:rsidRPr="00012E93">
              <w:rPr>
                <w:lang w:val="en-US"/>
              </w:rPr>
              <w:t>ASP/32A24/9</w:t>
            </w:r>
          </w:p>
        </w:tc>
        <w:tc>
          <w:tcPr>
            <w:tcW w:w="12332" w:type="dxa"/>
          </w:tcPr>
          <w:p w:rsidR="00663DED" w:rsidRPr="00012E93" w:rsidRDefault="00663DED" w:rsidP="00C91E8F">
            <w:pPr>
              <w:pStyle w:val="Tabletext"/>
              <w:rPr>
                <w:b/>
                <w:lang w:val="en-US"/>
              </w:rPr>
            </w:pPr>
            <w:r w:rsidRPr="00012E93">
              <w:rPr>
                <w:lang w:val="en-US" w:eastAsia="ko-KR"/>
              </w:rPr>
              <w:t>1.</w:t>
            </w:r>
            <w:r w:rsidRPr="00012E93">
              <w:rPr>
                <w:lang w:val="en-US" w:eastAsia="zh-CN"/>
              </w:rPr>
              <w:t>5</w:t>
            </w:r>
            <w:r w:rsidRPr="00012E93">
              <w:rPr>
                <w:lang w:val="en-US"/>
              </w:rPr>
              <w:tab/>
            </w:r>
            <w:r w:rsidRPr="00012E93">
              <w:rPr>
                <w:lang w:val="en-US" w:eastAsia="zh-CN"/>
              </w:rPr>
              <w:t xml:space="preserve">to consider regulatory provisions to facilitate the introduction of GADSS in aeronautical services bands in accordance with Resolution </w:t>
            </w:r>
            <w:r w:rsidRPr="00012E93">
              <w:rPr>
                <w:b/>
                <w:lang w:val="en-US" w:eastAsia="zh-CN"/>
              </w:rPr>
              <w:t>[ASP-E10-GADSS] (WRC</w:t>
            </w:r>
            <w:r w:rsidRPr="00012E93">
              <w:rPr>
                <w:b/>
                <w:lang w:val="en-US" w:eastAsia="zh-CN"/>
              </w:rPr>
              <w:noBreakHyphen/>
              <w:t>15)</w:t>
            </w:r>
            <w:r w:rsidRPr="00012E93">
              <w:rPr>
                <w:b/>
                <w:lang w:val="en-US" w:eastAsia="ja-JP"/>
              </w:rPr>
              <w:t xml:space="preserve"> (Attachment 5)</w:t>
            </w:r>
            <w:r w:rsidRPr="00012E93">
              <w:rPr>
                <w:lang w:val="en-US" w:eastAsia="zh-CN"/>
              </w:rPr>
              <w:t>;</w:t>
            </w:r>
          </w:p>
        </w:tc>
      </w:tr>
      <w:tr w:rsidR="00663DED" w:rsidRPr="00012E93" w:rsidTr="00711EE0">
        <w:tc>
          <w:tcPr>
            <w:tcW w:w="1838" w:type="dxa"/>
          </w:tcPr>
          <w:p w:rsidR="00663DED" w:rsidRPr="00012E93" w:rsidRDefault="00663DED" w:rsidP="00C91E8F">
            <w:pPr>
              <w:pStyle w:val="Tabletext"/>
              <w:rPr>
                <w:lang w:val="en-US"/>
              </w:rPr>
            </w:pPr>
            <w:r w:rsidRPr="00012E93">
              <w:rPr>
                <w:lang w:val="ru-RU"/>
              </w:rPr>
              <w:t>EUR/9A25/2</w:t>
            </w:r>
          </w:p>
        </w:tc>
        <w:tc>
          <w:tcPr>
            <w:tcW w:w="12332" w:type="dxa"/>
          </w:tcPr>
          <w:p w:rsidR="00663DED" w:rsidRPr="00012E93" w:rsidRDefault="00663DED" w:rsidP="00C91E8F">
            <w:pPr>
              <w:pStyle w:val="Tabletext"/>
              <w:rPr>
                <w:lang w:val="en-US"/>
              </w:rPr>
            </w:pPr>
            <w:r w:rsidRPr="00012E93">
              <w:rPr>
                <w:lang w:val="en-US"/>
              </w:rPr>
              <w:t>1.11</w:t>
            </w:r>
            <w:r w:rsidRPr="00012E93">
              <w:rPr>
                <w:lang w:val="en-US"/>
              </w:rPr>
              <w:tab/>
              <w:t xml:space="preserve">to consider regulatory actions for the development and implementation of the Global Aeronautical Distress and Safety System (GADSS) in accordance with Resolution </w:t>
            </w:r>
            <w:r w:rsidRPr="00012E93">
              <w:rPr>
                <w:b/>
                <w:lang w:val="en-US"/>
              </w:rPr>
              <w:t>[EUR-A25-11] (WRC-15)</w:t>
            </w:r>
            <w:r w:rsidRPr="00012E93">
              <w:rPr>
                <w:lang w:val="en-US"/>
              </w:rPr>
              <w:t>;</w:t>
            </w:r>
          </w:p>
        </w:tc>
      </w:tr>
      <w:tr w:rsidR="00663DED" w:rsidRPr="00012E93" w:rsidTr="00711EE0">
        <w:tc>
          <w:tcPr>
            <w:tcW w:w="1838" w:type="dxa"/>
          </w:tcPr>
          <w:p w:rsidR="00663DED" w:rsidRPr="00E70629" w:rsidRDefault="00663DED" w:rsidP="00E70629">
            <w:pPr>
              <w:pStyle w:val="Tabletext"/>
              <w:rPr>
                <w:highlight w:val="yellow"/>
                <w:lang w:val="ru-RU"/>
              </w:rPr>
            </w:pPr>
            <w:r w:rsidRPr="00012E93">
              <w:rPr>
                <w:lang w:val="ru-RU"/>
              </w:rPr>
              <w:t>IAP/7A24A3/2</w:t>
            </w:r>
          </w:p>
        </w:tc>
        <w:tc>
          <w:tcPr>
            <w:tcW w:w="12332" w:type="dxa"/>
          </w:tcPr>
          <w:p w:rsidR="00663DED" w:rsidRPr="00012E93" w:rsidRDefault="00663DED" w:rsidP="00C91E8F">
            <w:pPr>
              <w:pStyle w:val="Tabletext"/>
              <w:rPr>
                <w:i/>
                <w:lang w:val="en-US"/>
              </w:rPr>
            </w:pPr>
            <w:r w:rsidRPr="00012E93">
              <w:rPr>
                <w:lang w:val="en-US"/>
              </w:rPr>
              <w:t>1[GADSS]</w:t>
            </w:r>
            <w:r w:rsidRPr="00012E93">
              <w:rPr>
                <w:b/>
                <w:lang w:val="en-US"/>
              </w:rPr>
              <w:tab/>
            </w:r>
            <w:r w:rsidRPr="00012E93">
              <w:rPr>
                <w:lang w:val="en-US"/>
              </w:rPr>
              <w:t xml:space="preserve">to consider regulatory actions, including spectrum allocations, to address evolving needs of the Global Aeronautical Distress and Safety System in accordance with Resolution </w:t>
            </w:r>
            <w:r w:rsidRPr="00012E93">
              <w:rPr>
                <w:b/>
                <w:lang w:val="en-US"/>
              </w:rPr>
              <w:t>[IAP-10C-GADSS] (WRC</w:t>
            </w:r>
            <w:r w:rsidRPr="00012E93">
              <w:rPr>
                <w:b/>
                <w:lang w:val="en-US"/>
              </w:rPr>
              <w:noBreakHyphen/>
              <w:t>15)</w:t>
            </w:r>
            <w:r w:rsidRPr="00012E93">
              <w:rPr>
                <w:lang w:val="en-US"/>
              </w:rPr>
              <w:t>;</w:t>
            </w:r>
          </w:p>
        </w:tc>
      </w:tr>
      <w:tr w:rsidR="00663DED" w:rsidRPr="00012E93" w:rsidTr="00711EE0">
        <w:tc>
          <w:tcPr>
            <w:tcW w:w="1838" w:type="dxa"/>
          </w:tcPr>
          <w:p w:rsidR="00663DED" w:rsidRPr="00012E93" w:rsidRDefault="00663DED" w:rsidP="00C91E8F">
            <w:pPr>
              <w:pStyle w:val="Tabletext"/>
              <w:rPr>
                <w:lang w:val="en-US"/>
              </w:rPr>
            </w:pPr>
            <w:r w:rsidRPr="00012E93">
              <w:rPr>
                <w:lang w:val="en-US"/>
              </w:rPr>
              <w:t>ICAO/17/AI10</w:t>
            </w:r>
          </w:p>
        </w:tc>
        <w:tc>
          <w:tcPr>
            <w:tcW w:w="12332" w:type="dxa"/>
          </w:tcPr>
          <w:p w:rsidR="00663DED" w:rsidRPr="00012E93" w:rsidRDefault="00663DED" w:rsidP="00C91E8F">
            <w:pPr>
              <w:pStyle w:val="Tabletext"/>
            </w:pPr>
            <w:r w:rsidRPr="00012E93">
              <w:t xml:space="preserve">ICAO Position: </w:t>
            </w:r>
          </w:p>
          <w:p w:rsidR="00663DED" w:rsidRPr="00012E93" w:rsidRDefault="00663DED" w:rsidP="00C91E8F">
            <w:pPr>
              <w:pStyle w:val="Tabletext"/>
            </w:pPr>
            <w:r w:rsidRPr="00012E93">
              <w:t xml:space="preserve">To support the inclusion of an item on the agenda of a future World </w:t>
            </w:r>
            <w:proofErr w:type="spellStart"/>
            <w:r w:rsidRPr="00012E93">
              <w:t>Radiocommunication</w:t>
            </w:r>
            <w:proofErr w:type="spellEnd"/>
            <w:r w:rsidRPr="00012E93">
              <w:t xml:space="preserve"> Conference to address the needs of the global aeronautical distress and safety system</w:t>
            </w:r>
          </w:p>
        </w:tc>
      </w:tr>
      <w:tr w:rsidR="00663DED" w:rsidRPr="00012E93" w:rsidTr="00711EE0">
        <w:tc>
          <w:tcPr>
            <w:tcW w:w="14170" w:type="dxa"/>
            <w:gridSpan w:val="2"/>
          </w:tcPr>
          <w:p w:rsidR="00663DED" w:rsidRPr="00B50753" w:rsidRDefault="00B50753" w:rsidP="00C91E8F">
            <w:pPr>
              <w:pStyle w:val="Tabletext"/>
              <w:rPr>
                <w:b/>
                <w:bCs/>
                <w:highlight w:val="green"/>
                <w:lang w:val="en-US"/>
              </w:rPr>
            </w:pPr>
            <w:r w:rsidRPr="00B50753">
              <w:rPr>
                <w:b/>
                <w:bCs/>
                <w:highlight w:val="green"/>
                <w:lang w:val="en-US"/>
              </w:rPr>
              <w:lastRenderedPageBreak/>
              <w:t xml:space="preserve">GMDSS  - </w:t>
            </w:r>
            <w:r w:rsidR="00663DED" w:rsidRPr="00B50753">
              <w:rPr>
                <w:b/>
                <w:bCs/>
                <w:highlight w:val="green"/>
                <w:lang w:val="en-US"/>
              </w:rPr>
              <w:t>Global Maritime Distress and Safety System</w:t>
            </w:r>
          </w:p>
        </w:tc>
      </w:tr>
      <w:tr w:rsidR="00663DED" w:rsidRPr="00012E93" w:rsidTr="00711EE0">
        <w:tc>
          <w:tcPr>
            <w:tcW w:w="1838" w:type="dxa"/>
          </w:tcPr>
          <w:p w:rsidR="00663DED" w:rsidRPr="00012E93" w:rsidRDefault="00663DED" w:rsidP="00E70629">
            <w:pPr>
              <w:pStyle w:val="Tabletext"/>
              <w:rPr>
                <w:lang w:val="en-US"/>
              </w:rPr>
            </w:pPr>
            <w:r w:rsidRPr="00012E93">
              <w:rPr>
                <w:lang w:val="en-US"/>
              </w:rPr>
              <w:t>ASP/32A24/8</w:t>
            </w:r>
          </w:p>
        </w:tc>
        <w:tc>
          <w:tcPr>
            <w:tcW w:w="12332" w:type="dxa"/>
          </w:tcPr>
          <w:p w:rsidR="00663DED" w:rsidRPr="00012E93" w:rsidRDefault="00663DED" w:rsidP="00C91E8F">
            <w:pPr>
              <w:pStyle w:val="Tabletext"/>
              <w:rPr>
                <w:lang w:val="en-US" w:eastAsia="zh-CN"/>
              </w:rPr>
            </w:pPr>
            <w:r w:rsidRPr="00012E93">
              <w:rPr>
                <w:lang w:val="en-US" w:eastAsia="ko-KR"/>
              </w:rPr>
              <w:t>1.</w:t>
            </w:r>
            <w:r w:rsidRPr="00012E93">
              <w:rPr>
                <w:lang w:val="en-US" w:eastAsia="zh-CN"/>
              </w:rPr>
              <w:t>4</w:t>
            </w:r>
            <w:r w:rsidRPr="00012E93">
              <w:rPr>
                <w:lang w:val="en-US"/>
              </w:rPr>
              <w:tab/>
            </w:r>
            <w:r w:rsidRPr="00012E93">
              <w:rPr>
                <w:lang w:val="en-US" w:eastAsia="zh-CN"/>
              </w:rPr>
              <w:t>to consider regulatory actions, including spectrum allocations, to support GMDSS modernization and implementation of e</w:t>
            </w:r>
            <w:r w:rsidRPr="00012E93">
              <w:rPr>
                <w:lang w:val="en-US" w:eastAsia="zh-CN"/>
              </w:rPr>
              <w:noBreakHyphen/>
            </w:r>
            <w:proofErr w:type="spellStart"/>
            <w:r w:rsidRPr="00012E93">
              <w:rPr>
                <w:lang w:val="en-US" w:eastAsia="zh-CN"/>
              </w:rPr>
              <w:t>navigation</w:t>
            </w:r>
            <w:proofErr w:type="spellEnd"/>
            <w:r w:rsidRPr="00012E93">
              <w:rPr>
                <w:lang w:val="en-US" w:eastAsia="zh-CN"/>
              </w:rPr>
              <w:t xml:space="preserve"> in accordance with Resolution </w:t>
            </w:r>
            <w:r w:rsidRPr="00012E93">
              <w:rPr>
                <w:b/>
                <w:lang w:val="en-US" w:eastAsia="zh-CN"/>
              </w:rPr>
              <w:t>359 (Rev.WRC</w:t>
            </w:r>
            <w:r w:rsidRPr="00012E93">
              <w:rPr>
                <w:b/>
                <w:lang w:val="en-US" w:eastAsia="zh-CN"/>
              </w:rPr>
              <w:noBreakHyphen/>
              <w:t>15)</w:t>
            </w:r>
            <w:r w:rsidRPr="00012E93">
              <w:rPr>
                <w:b/>
                <w:lang w:val="en-US" w:eastAsia="ja-JP"/>
              </w:rPr>
              <w:t xml:space="preserve"> (Attachment 4)</w:t>
            </w:r>
            <w:r w:rsidRPr="00012E93">
              <w:rPr>
                <w:lang w:val="en-US" w:eastAsia="zh-CN"/>
              </w:rPr>
              <w:t>;</w:t>
            </w:r>
          </w:p>
        </w:tc>
      </w:tr>
      <w:tr w:rsidR="00663DED" w:rsidRPr="00012E93" w:rsidTr="00711EE0">
        <w:tc>
          <w:tcPr>
            <w:tcW w:w="1838" w:type="dxa"/>
          </w:tcPr>
          <w:p w:rsidR="00663DED" w:rsidRPr="00012E93" w:rsidRDefault="00663DED" w:rsidP="00C91E8F">
            <w:pPr>
              <w:pStyle w:val="Tabletext"/>
              <w:rPr>
                <w:lang w:val="en-US"/>
              </w:rPr>
            </w:pPr>
            <w:r w:rsidRPr="00012E93">
              <w:rPr>
                <w:lang w:val="ru-RU"/>
              </w:rPr>
              <w:t>IAP/7A24A5/2</w:t>
            </w:r>
          </w:p>
        </w:tc>
        <w:tc>
          <w:tcPr>
            <w:tcW w:w="12332" w:type="dxa"/>
          </w:tcPr>
          <w:p w:rsidR="00663DED" w:rsidRPr="00012E93" w:rsidRDefault="00663DED" w:rsidP="00C91E8F">
            <w:pPr>
              <w:pStyle w:val="Tabletext"/>
              <w:rPr>
                <w:i/>
                <w:lang w:val="en-US"/>
              </w:rPr>
            </w:pPr>
            <w:r w:rsidRPr="00012E93">
              <w:rPr>
                <w:lang w:val="en-US"/>
              </w:rPr>
              <w:t>1.[GMDSS]</w:t>
            </w:r>
            <w:r w:rsidRPr="00012E93">
              <w:rPr>
                <w:lang w:val="en-US"/>
              </w:rPr>
              <w:tab/>
              <w:t>to consider regulatory actions, including spectrum allocations, to support GMDSS modernization, implementation of e</w:t>
            </w:r>
            <w:r w:rsidRPr="00012E93">
              <w:rPr>
                <w:lang w:val="en-US"/>
              </w:rPr>
              <w:noBreakHyphen/>
            </w:r>
            <w:proofErr w:type="spellStart"/>
            <w:r w:rsidRPr="00012E93">
              <w:rPr>
                <w:lang w:val="en-US"/>
              </w:rPr>
              <w:t>navigation</w:t>
            </w:r>
            <w:proofErr w:type="spellEnd"/>
            <w:r w:rsidRPr="00012E93">
              <w:rPr>
                <w:lang w:val="en-US"/>
              </w:rPr>
              <w:t xml:space="preserve"> and recognition of new service providers in the GMDSS, in accordance with Resolution </w:t>
            </w:r>
            <w:r w:rsidRPr="00012E93">
              <w:rPr>
                <w:b/>
                <w:lang w:val="en-US"/>
              </w:rPr>
              <w:t>359 (Rev.WRC</w:t>
            </w:r>
            <w:r w:rsidRPr="00012E93">
              <w:rPr>
                <w:b/>
                <w:lang w:val="en-US"/>
              </w:rPr>
              <w:noBreakHyphen/>
              <w:t>15)</w:t>
            </w:r>
            <w:r w:rsidRPr="00012E93">
              <w:rPr>
                <w:lang w:val="en-US"/>
              </w:rPr>
              <w:t>;</w:t>
            </w:r>
          </w:p>
        </w:tc>
      </w:tr>
      <w:tr w:rsidR="00663DED" w:rsidRPr="00012E93" w:rsidTr="00711EE0">
        <w:tc>
          <w:tcPr>
            <w:tcW w:w="14170" w:type="dxa"/>
            <w:gridSpan w:val="2"/>
          </w:tcPr>
          <w:p w:rsidR="00663DED" w:rsidRPr="001D63AE" w:rsidRDefault="00663DED" w:rsidP="00C91E8F">
            <w:pPr>
              <w:pStyle w:val="Tabletext"/>
              <w:rPr>
                <w:b/>
                <w:lang w:val="ru-RU"/>
              </w:rPr>
            </w:pPr>
            <w:r w:rsidRPr="001D63AE">
              <w:rPr>
                <w:b/>
                <w:lang w:val="en-US"/>
              </w:rPr>
              <w:t>HAPS</w:t>
            </w:r>
          </w:p>
        </w:tc>
      </w:tr>
      <w:tr w:rsidR="00663DED" w:rsidRPr="00012E93" w:rsidTr="00711EE0">
        <w:tc>
          <w:tcPr>
            <w:tcW w:w="1838" w:type="dxa"/>
          </w:tcPr>
          <w:p w:rsidR="00663DED" w:rsidRPr="00E70629" w:rsidRDefault="00663DED" w:rsidP="00E70629">
            <w:pPr>
              <w:pStyle w:val="Tabletext"/>
              <w:rPr>
                <w:highlight w:val="yellow"/>
                <w:lang w:val="ru-RU"/>
              </w:rPr>
            </w:pPr>
            <w:r w:rsidRPr="00012E93">
              <w:rPr>
                <w:lang w:val="ru-RU"/>
              </w:rPr>
              <w:t>IAP/7A24A6/2</w:t>
            </w:r>
          </w:p>
        </w:tc>
        <w:tc>
          <w:tcPr>
            <w:tcW w:w="12332" w:type="dxa"/>
          </w:tcPr>
          <w:p w:rsidR="00663DED" w:rsidRPr="00012E93" w:rsidRDefault="00663DED" w:rsidP="00C91E8F">
            <w:pPr>
              <w:pStyle w:val="Tabletext"/>
              <w:rPr>
                <w:i/>
                <w:lang w:val="en-US"/>
              </w:rPr>
            </w:pPr>
            <w:r w:rsidRPr="00012E93">
              <w:rPr>
                <w:lang w:val="en-US"/>
              </w:rPr>
              <w:t>1[HAPS]</w:t>
            </w:r>
            <w:r w:rsidRPr="00012E93">
              <w:rPr>
                <w:lang w:val="en-US"/>
              </w:rPr>
              <w:tab/>
              <w:t>to consider, on the basis of ITU</w:t>
            </w:r>
            <w:r w:rsidRPr="00012E93">
              <w:rPr>
                <w:lang w:val="en-US"/>
              </w:rPr>
              <w:noBreakHyphen/>
              <w:t xml:space="preserve">R studies in accordance with Resolution </w:t>
            </w:r>
            <w:r w:rsidRPr="00012E93">
              <w:rPr>
                <w:b/>
                <w:lang w:val="en-US"/>
              </w:rPr>
              <w:t>[IAP</w:t>
            </w:r>
            <w:r w:rsidRPr="00012E93">
              <w:rPr>
                <w:b/>
                <w:lang w:val="en-US"/>
              </w:rPr>
              <w:noBreakHyphen/>
              <w:t>10F</w:t>
            </w:r>
            <w:r w:rsidRPr="00012E93">
              <w:rPr>
                <w:b/>
                <w:lang w:val="en-US"/>
              </w:rPr>
              <w:noBreakHyphen/>
              <w:t>HAPS] (WRC</w:t>
            </w:r>
            <w:r w:rsidRPr="00012E93">
              <w:rPr>
                <w:b/>
                <w:lang w:val="en-US"/>
              </w:rPr>
              <w:noBreakHyphen/>
              <w:t>15)</w:t>
            </w:r>
            <w:r w:rsidRPr="00012E93">
              <w:rPr>
                <w:lang w:val="en-US"/>
              </w:rPr>
              <w:t>, appropriate regulatory actions, potentially including expansion of existing identifications for HAPS links within existing fixed service allocations, by revising geographic, technical, and regulatory restrictions associated with existing HAPS identifications, and identifying additional frequency ranges (including any appropriate regulatory and technical conditions) for use by HAPS, within existing fixed service allocations;</w:t>
            </w:r>
          </w:p>
        </w:tc>
      </w:tr>
      <w:tr w:rsidR="00663DED" w:rsidRPr="00012E93" w:rsidTr="00711EE0">
        <w:tc>
          <w:tcPr>
            <w:tcW w:w="14170" w:type="dxa"/>
            <w:gridSpan w:val="2"/>
          </w:tcPr>
          <w:p w:rsidR="00663DED" w:rsidRPr="00B50753" w:rsidRDefault="00663DED" w:rsidP="00C91E8F">
            <w:pPr>
              <w:pStyle w:val="Tabletext"/>
              <w:rPr>
                <w:b/>
                <w:highlight w:val="green"/>
                <w:lang w:val="en-US"/>
              </w:rPr>
            </w:pPr>
            <w:r w:rsidRPr="00B50753">
              <w:rPr>
                <w:b/>
                <w:highlight w:val="green"/>
                <w:lang w:val="en-US"/>
              </w:rPr>
              <w:t>IMT</w:t>
            </w:r>
            <w:r w:rsidR="00B50753">
              <w:rPr>
                <w:b/>
                <w:highlight w:val="green"/>
                <w:lang w:val="en-US"/>
              </w:rPr>
              <w:t xml:space="preserve"> above 6 GHz</w:t>
            </w:r>
          </w:p>
        </w:tc>
      </w:tr>
      <w:tr w:rsidR="00663DED" w:rsidRPr="00012E93" w:rsidTr="00711EE0">
        <w:tc>
          <w:tcPr>
            <w:tcW w:w="1838" w:type="dxa"/>
          </w:tcPr>
          <w:p w:rsidR="00663DED" w:rsidRPr="006A582C" w:rsidRDefault="00663DED" w:rsidP="00C91E8F">
            <w:pPr>
              <w:pStyle w:val="Tabletext"/>
            </w:pPr>
            <w:r w:rsidRPr="00012E93">
              <w:rPr>
                <w:lang w:val="en-US"/>
              </w:rPr>
              <w:t>AFS</w:t>
            </w:r>
            <w:r w:rsidRPr="006A582C">
              <w:t>/</w:t>
            </w:r>
            <w:r w:rsidRPr="00012E93">
              <w:rPr>
                <w:lang w:val="en-US"/>
              </w:rPr>
              <w:t>AGL</w:t>
            </w:r>
            <w:r w:rsidRPr="006A582C">
              <w:t>/</w:t>
            </w:r>
            <w:r w:rsidRPr="00012E93">
              <w:rPr>
                <w:lang w:val="en-US"/>
              </w:rPr>
              <w:t>BOT</w:t>
            </w:r>
            <w:r w:rsidRPr="006A582C">
              <w:t>/</w:t>
            </w:r>
            <w:r w:rsidRPr="00012E93">
              <w:rPr>
                <w:lang w:val="en-US"/>
              </w:rPr>
              <w:t>DRC</w:t>
            </w:r>
            <w:r w:rsidRPr="006A582C">
              <w:t>/</w:t>
            </w:r>
            <w:r w:rsidRPr="00012E93">
              <w:rPr>
                <w:lang w:val="en-US"/>
              </w:rPr>
              <w:t>LSO</w:t>
            </w:r>
            <w:r w:rsidRPr="006A582C">
              <w:t>/</w:t>
            </w:r>
            <w:r w:rsidRPr="00012E93">
              <w:rPr>
                <w:lang w:val="en-US"/>
              </w:rPr>
              <w:t>MAU</w:t>
            </w:r>
            <w:r w:rsidRPr="006A582C">
              <w:t>/</w:t>
            </w:r>
            <w:r w:rsidRPr="00012E93">
              <w:rPr>
                <w:lang w:val="en-US"/>
              </w:rPr>
              <w:t>MDG</w:t>
            </w:r>
            <w:r w:rsidRPr="006A582C">
              <w:t>/</w:t>
            </w:r>
            <w:r w:rsidRPr="00012E93">
              <w:rPr>
                <w:lang w:val="en-US"/>
              </w:rPr>
              <w:t>MOZ</w:t>
            </w:r>
            <w:r w:rsidRPr="006A582C">
              <w:t>/</w:t>
            </w:r>
            <w:r w:rsidRPr="00012E93">
              <w:rPr>
                <w:lang w:val="en-US"/>
              </w:rPr>
              <w:t>MWI</w:t>
            </w:r>
            <w:r w:rsidRPr="006A582C">
              <w:t>/</w:t>
            </w:r>
            <w:r w:rsidRPr="00012E93">
              <w:rPr>
                <w:lang w:val="en-US"/>
              </w:rPr>
              <w:t>NMB</w:t>
            </w:r>
            <w:r w:rsidRPr="006A582C">
              <w:t>/</w:t>
            </w:r>
            <w:r w:rsidRPr="00012E93">
              <w:rPr>
                <w:lang w:val="en-US"/>
              </w:rPr>
              <w:t>SEY</w:t>
            </w:r>
            <w:r w:rsidRPr="006A582C">
              <w:t>/</w:t>
            </w:r>
            <w:r w:rsidRPr="00012E93">
              <w:rPr>
                <w:lang w:val="en-US"/>
              </w:rPr>
              <w:t>SWZ</w:t>
            </w:r>
            <w:r w:rsidRPr="006A582C">
              <w:t>/</w:t>
            </w:r>
            <w:r w:rsidRPr="00012E93">
              <w:rPr>
                <w:lang w:val="en-US"/>
              </w:rPr>
              <w:t>TNZ</w:t>
            </w:r>
            <w:r w:rsidRPr="006A582C">
              <w:t>/</w:t>
            </w:r>
            <w:r w:rsidRPr="00012E93">
              <w:rPr>
                <w:lang w:val="en-US"/>
              </w:rPr>
              <w:t>ZAM</w:t>
            </w:r>
            <w:r w:rsidRPr="006A582C">
              <w:t>/</w:t>
            </w:r>
            <w:r w:rsidRPr="00012E93">
              <w:rPr>
                <w:lang w:val="en-US"/>
              </w:rPr>
              <w:t>ZMB</w:t>
            </w:r>
            <w:r w:rsidRPr="006A582C">
              <w:t>/130/</w:t>
            </w:r>
            <w:r w:rsidRPr="00012E93">
              <w:rPr>
                <w:lang w:val="en-US"/>
              </w:rPr>
              <w:t>A</w:t>
            </w:r>
            <w:r w:rsidRPr="006A582C">
              <w:t>25/</w:t>
            </w:r>
            <w:r w:rsidRPr="00012E93">
              <w:rPr>
                <w:lang w:val="en-US"/>
              </w:rPr>
              <w:t>A</w:t>
            </w:r>
            <w:r w:rsidRPr="006A582C">
              <w:t>3</w:t>
            </w:r>
          </w:p>
        </w:tc>
        <w:tc>
          <w:tcPr>
            <w:tcW w:w="12332" w:type="dxa"/>
          </w:tcPr>
          <w:p w:rsidR="00663DED" w:rsidRPr="00012E93" w:rsidRDefault="00663DED" w:rsidP="00C91E8F">
            <w:pPr>
              <w:pStyle w:val="Tabletext"/>
            </w:pPr>
            <w:r w:rsidRPr="00012E93">
              <w:t>Support for studies on frequency-related matters for IMT identification including possible additional allocations to the mobile services on a primary basis in portion(s) of the following frequency bands for the future development of IMT for 2020 and beyond:</w:t>
            </w:r>
          </w:p>
          <w:p w:rsidR="00663DED" w:rsidRPr="009517F3" w:rsidRDefault="00663DED" w:rsidP="00C91E8F">
            <w:pPr>
              <w:pStyle w:val="Tabletext"/>
              <w:rPr>
                <w:lang w:val="it-IT"/>
              </w:rPr>
            </w:pPr>
            <w:r w:rsidRPr="009517F3">
              <w:rPr>
                <w:lang w:val="it-IT"/>
              </w:rPr>
              <w:t>i)</w:t>
            </w:r>
            <w:r w:rsidRPr="009517F3">
              <w:rPr>
                <w:lang w:val="it-IT"/>
              </w:rPr>
              <w:tab/>
              <w:t>26.5-27.5 GHz</w:t>
            </w:r>
          </w:p>
          <w:p w:rsidR="00663DED" w:rsidRPr="009517F3" w:rsidRDefault="00663DED" w:rsidP="00C91E8F">
            <w:pPr>
              <w:pStyle w:val="Tabletext"/>
              <w:rPr>
                <w:lang w:val="it-IT"/>
              </w:rPr>
            </w:pPr>
            <w:r w:rsidRPr="009517F3">
              <w:rPr>
                <w:lang w:val="it-IT"/>
              </w:rPr>
              <w:t>ii)</w:t>
            </w:r>
            <w:r w:rsidRPr="009517F3">
              <w:rPr>
                <w:lang w:val="it-IT"/>
              </w:rPr>
              <w:tab/>
              <w:t>31.8-33.4 GHz</w:t>
            </w:r>
          </w:p>
          <w:p w:rsidR="00663DED" w:rsidRPr="009517F3" w:rsidRDefault="00663DED" w:rsidP="00C91E8F">
            <w:pPr>
              <w:pStyle w:val="Tabletext"/>
              <w:rPr>
                <w:lang w:val="it-IT"/>
              </w:rPr>
            </w:pPr>
            <w:r w:rsidRPr="009517F3">
              <w:rPr>
                <w:lang w:val="it-IT"/>
              </w:rPr>
              <w:t>iii)</w:t>
            </w:r>
            <w:r w:rsidRPr="009517F3">
              <w:rPr>
                <w:lang w:val="it-IT"/>
              </w:rPr>
              <w:tab/>
              <w:t>40.5-43.5 GHz</w:t>
            </w:r>
          </w:p>
          <w:p w:rsidR="00663DED" w:rsidRPr="009517F3" w:rsidRDefault="00663DED" w:rsidP="00C91E8F">
            <w:pPr>
              <w:pStyle w:val="Tabletext"/>
              <w:rPr>
                <w:lang w:val="it-IT"/>
              </w:rPr>
            </w:pPr>
            <w:r w:rsidRPr="009517F3">
              <w:rPr>
                <w:lang w:val="it-IT"/>
              </w:rPr>
              <w:t>iv)</w:t>
            </w:r>
            <w:r w:rsidRPr="009517F3">
              <w:rPr>
                <w:lang w:val="it-IT"/>
              </w:rPr>
              <w:tab/>
              <w:t>45.5-47.0 GHz</w:t>
            </w:r>
          </w:p>
          <w:p w:rsidR="00663DED" w:rsidRPr="009517F3" w:rsidRDefault="00663DED" w:rsidP="00C91E8F">
            <w:pPr>
              <w:pStyle w:val="Tabletext"/>
              <w:rPr>
                <w:lang w:val="it-IT"/>
              </w:rPr>
            </w:pPr>
            <w:r w:rsidRPr="009517F3">
              <w:rPr>
                <w:lang w:val="it-IT"/>
              </w:rPr>
              <w:t>v)</w:t>
            </w:r>
            <w:r w:rsidRPr="009517F3">
              <w:rPr>
                <w:lang w:val="it-IT"/>
              </w:rPr>
              <w:tab/>
              <w:t>47.2-47.5 GHz</w:t>
            </w:r>
          </w:p>
          <w:p w:rsidR="00663DED" w:rsidRPr="009517F3" w:rsidRDefault="00663DED" w:rsidP="00C91E8F">
            <w:pPr>
              <w:pStyle w:val="Tabletext"/>
              <w:rPr>
                <w:lang w:val="it-IT"/>
              </w:rPr>
            </w:pPr>
            <w:r w:rsidRPr="009517F3">
              <w:rPr>
                <w:lang w:val="it-IT"/>
              </w:rPr>
              <w:t>vi)</w:t>
            </w:r>
            <w:r w:rsidRPr="009517F3">
              <w:rPr>
                <w:lang w:val="it-IT"/>
              </w:rPr>
              <w:tab/>
              <w:t>48.54-49.44 GHz</w:t>
            </w:r>
          </w:p>
          <w:p w:rsidR="00663DED" w:rsidRPr="009517F3" w:rsidRDefault="00663DED" w:rsidP="00C91E8F">
            <w:pPr>
              <w:pStyle w:val="Tabletext"/>
              <w:rPr>
                <w:lang w:val="de-CH"/>
              </w:rPr>
            </w:pPr>
            <w:r w:rsidRPr="009517F3">
              <w:rPr>
                <w:lang w:val="de-CH"/>
              </w:rPr>
              <w:t>vii)</w:t>
            </w:r>
            <w:r w:rsidRPr="009517F3">
              <w:rPr>
                <w:lang w:val="de-CH"/>
              </w:rPr>
              <w:tab/>
              <w:t>50.4-52.6 GHz</w:t>
            </w:r>
          </w:p>
          <w:p w:rsidR="00663DED" w:rsidRPr="00012E93" w:rsidRDefault="00663DED" w:rsidP="00C91E8F">
            <w:pPr>
              <w:pStyle w:val="Tabletext"/>
              <w:rPr>
                <w:lang w:val="de-CH"/>
              </w:rPr>
            </w:pPr>
            <w:r w:rsidRPr="00012E93">
              <w:rPr>
                <w:lang w:val="de-CH"/>
              </w:rPr>
              <w:t>viii)</w:t>
            </w:r>
            <w:r w:rsidRPr="00012E93">
              <w:rPr>
                <w:lang w:val="de-CH"/>
              </w:rPr>
              <w:tab/>
              <w:t>66-71 GHz</w:t>
            </w:r>
          </w:p>
          <w:p w:rsidR="00663DED" w:rsidRPr="00012E93" w:rsidRDefault="00663DED" w:rsidP="00C91E8F">
            <w:pPr>
              <w:pStyle w:val="Tabletext"/>
              <w:rPr>
                <w:lang w:val="de-CH"/>
              </w:rPr>
            </w:pPr>
            <w:r w:rsidRPr="00012E93">
              <w:rPr>
                <w:lang w:val="de-CH"/>
              </w:rPr>
              <w:t>ix)</w:t>
            </w:r>
            <w:r w:rsidRPr="00012E93">
              <w:rPr>
                <w:lang w:val="de-CH"/>
              </w:rPr>
              <w:tab/>
              <w:t>71-76 GHz</w:t>
            </w:r>
          </w:p>
          <w:p w:rsidR="00663DED" w:rsidRPr="005F187A" w:rsidRDefault="00663DED" w:rsidP="005F187A">
            <w:pPr>
              <w:pStyle w:val="Tabletext"/>
              <w:rPr>
                <w:lang w:val="de-CH"/>
              </w:rPr>
            </w:pPr>
            <w:r w:rsidRPr="00012E93">
              <w:rPr>
                <w:lang w:val="de-CH"/>
              </w:rPr>
              <w:t>x)</w:t>
            </w:r>
            <w:r w:rsidRPr="00012E93">
              <w:rPr>
                <w:lang w:val="de-CH"/>
              </w:rPr>
              <w:tab/>
              <w:t>81-86 GHz.</w:t>
            </w:r>
          </w:p>
        </w:tc>
      </w:tr>
      <w:tr w:rsidR="00663DED" w:rsidRPr="00012E93" w:rsidTr="00711EE0">
        <w:tc>
          <w:tcPr>
            <w:tcW w:w="1838" w:type="dxa"/>
          </w:tcPr>
          <w:p w:rsidR="00663DED" w:rsidRPr="00012E93" w:rsidRDefault="00663DED" w:rsidP="00C91E8F">
            <w:pPr>
              <w:pStyle w:val="Tabletext"/>
              <w:rPr>
                <w:lang w:val="en-US"/>
              </w:rPr>
            </w:pPr>
            <w:r w:rsidRPr="00012E93">
              <w:rPr>
                <w:lang w:val="ru-RU"/>
              </w:rPr>
              <w:t>EUR/9A25/2</w:t>
            </w:r>
          </w:p>
        </w:tc>
        <w:tc>
          <w:tcPr>
            <w:tcW w:w="12332" w:type="dxa"/>
          </w:tcPr>
          <w:p w:rsidR="00663DED" w:rsidRPr="00012E93" w:rsidRDefault="00663DED" w:rsidP="00C91E8F">
            <w:pPr>
              <w:pStyle w:val="Tabletext"/>
              <w:rPr>
                <w:lang w:val="en-US"/>
              </w:rPr>
            </w:pPr>
            <w:r w:rsidRPr="00012E93">
              <w:rPr>
                <w:lang w:val="en-US"/>
              </w:rPr>
              <w:t>1.1</w:t>
            </w:r>
            <w:r w:rsidRPr="00012E93">
              <w:rPr>
                <w:lang w:val="en-US"/>
              </w:rPr>
              <w:tab/>
              <w:t xml:space="preserve">to consider additional spectrum allocations to the mobile service on a primary basis and identification of frequency bands for International Mobile Telecommunications, in accordance with Resolution </w:t>
            </w:r>
            <w:r w:rsidRPr="00012E93">
              <w:rPr>
                <w:b/>
                <w:lang w:val="en-US"/>
              </w:rPr>
              <w:t>[EUR-A25-1] (WRC-15)</w:t>
            </w:r>
            <w:r w:rsidRPr="00012E93">
              <w:rPr>
                <w:lang w:val="en-US"/>
              </w:rPr>
              <w:t>;</w:t>
            </w:r>
          </w:p>
        </w:tc>
      </w:tr>
      <w:tr w:rsidR="00663DED" w:rsidRPr="00012E93" w:rsidTr="00711EE0">
        <w:tc>
          <w:tcPr>
            <w:tcW w:w="1838" w:type="dxa"/>
          </w:tcPr>
          <w:p w:rsidR="00663DED" w:rsidRPr="00012E93" w:rsidRDefault="00663DED" w:rsidP="00C91E8F">
            <w:pPr>
              <w:pStyle w:val="Tabletext"/>
              <w:rPr>
                <w:lang w:val="en-US"/>
              </w:rPr>
            </w:pPr>
            <w:r w:rsidRPr="00012E93">
              <w:rPr>
                <w:lang w:val="ru-RU"/>
              </w:rPr>
              <w:t>KOR/102A24/1</w:t>
            </w:r>
          </w:p>
        </w:tc>
        <w:tc>
          <w:tcPr>
            <w:tcW w:w="12332" w:type="dxa"/>
          </w:tcPr>
          <w:p w:rsidR="00663DED" w:rsidRPr="00012E93" w:rsidRDefault="00663DED" w:rsidP="00C91E8F">
            <w:pPr>
              <w:pStyle w:val="Tabletext"/>
              <w:rPr>
                <w:lang w:val="en-US" w:eastAsia="ko-KR"/>
              </w:rPr>
            </w:pPr>
            <w:r w:rsidRPr="00012E93">
              <w:rPr>
                <w:lang w:val="en-US" w:eastAsia="ko-KR"/>
              </w:rPr>
              <w:t>It is proposed that:</w:t>
            </w:r>
          </w:p>
          <w:p w:rsidR="00663DED" w:rsidRPr="00012E93" w:rsidRDefault="00663DED" w:rsidP="00C91E8F">
            <w:pPr>
              <w:pStyle w:val="Tabletext"/>
              <w:rPr>
                <w:lang w:eastAsia="ko-KR"/>
              </w:rPr>
            </w:pPr>
            <w:r w:rsidRPr="00012E93">
              <w:rPr>
                <w:lang w:eastAsia="ko-KR"/>
              </w:rPr>
              <w:t>–</w:t>
            </w:r>
            <w:r w:rsidRPr="00012E93">
              <w:rPr>
                <w:lang w:eastAsia="ko-KR"/>
              </w:rPr>
              <w:tab/>
              <w:t>all frequency ranges provided by regional groups should be consolidated without further examination and studied by the responsible group for the next study period, taking into account the need for global/regional harmonization of spectrum. Proposed frequency bands by individual administrations could be included based on discussion;</w:t>
            </w:r>
          </w:p>
          <w:p w:rsidR="00663DED" w:rsidRPr="00012E93" w:rsidRDefault="00663DED" w:rsidP="00C91E8F">
            <w:pPr>
              <w:pStyle w:val="Tabletext"/>
              <w:rPr>
                <w:lang w:eastAsia="ko-KR"/>
              </w:rPr>
            </w:pPr>
            <w:r w:rsidRPr="00012E93">
              <w:rPr>
                <w:lang w:eastAsia="ko-KR"/>
              </w:rPr>
              <w:t>–</w:t>
            </w:r>
            <w:r w:rsidRPr="00012E93">
              <w:rPr>
                <w:lang w:eastAsia="ko-KR"/>
              </w:rPr>
              <w:tab/>
            </w:r>
            <w:proofErr w:type="gramStart"/>
            <w:r w:rsidRPr="00012E93">
              <w:rPr>
                <w:lang w:eastAsia="ko-KR"/>
              </w:rPr>
              <w:t>a</w:t>
            </w:r>
            <w:proofErr w:type="gramEnd"/>
            <w:r w:rsidRPr="00012E93">
              <w:rPr>
                <w:lang w:eastAsia="ko-KR"/>
              </w:rPr>
              <w:t xml:space="preserve"> number of frequency bands could be grouped taking into account the implementable bandwidths based on the advanced technologies.</w:t>
            </w:r>
          </w:p>
        </w:tc>
      </w:tr>
      <w:tr w:rsidR="00663DED" w:rsidRPr="00012E93" w:rsidTr="00711EE0">
        <w:tc>
          <w:tcPr>
            <w:tcW w:w="1838" w:type="dxa"/>
          </w:tcPr>
          <w:p w:rsidR="00663DED" w:rsidRPr="00012E93" w:rsidRDefault="00663DED" w:rsidP="00E70629">
            <w:pPr>
              <w:pStyle w:val="Tabletext"/>
              <w:rPr>
                <w:lang w:val="ru-RU"/>
              </w:rPr>
            </w:pPr>
            <w:r w:rsidRPr="00012E93">
              <w:rPr>
                <w:lang w:val="ru-RU"/>
              </w:rPr>
              <w:t xml:space="preserve">S/78/A2 </w:t>
            </w:r>
          </w:p>
        </w:tc>
        <w:tc>
          <w:tcPr>
            <w:tcW w:w="12332" w:type="dxa"/>
          </w:tcPr>
          <w:p w:rsidR="00663DED" w:rsidRPr="00012E93" w:rsidRDefault="00663DED" w:rsidP="00C91E8F">
            <w:pPr>
              <w:pStyle w:val="Tabletext"/>
              <w:rPr>
                <w:b/>
                <w:lang w:val="en-US"/>
              </w:rPr>
            </w:pPr>
            <w:r w:rsidRPr="00012E93">
              <w:rPr>
                <w:b/>
                <w:lang w:val="en-US"/>
              </w:rPr>
              <w:t>Proposals</w:t>
            </w:r>
          </w:p>
          <w:p w:rsidR="00663DED" w:rsidRPr="00012E93" w:rsidRDefault="00663DED" w:rsidP="00C91E8F">
            <w:pPr>
              <w:pStyle w:val="Tabletext"/>
              <w:rPr>
                <w:lang w:val="en-US"/>
              </w:rPr>
            </w:pPr>
            <w:r w:rsidRPr="00012E93">
              <w:lastRenderedPageBreak/>
              <w:t>–</w:t>
            </w:r>
            <w:r w:rsidRPr="00012E93">
              <w:tab/>
              <w:t xml:space="preserve">The frequency ranges proposed by the regional groups should be included in the list of frequency bands to be studied under the new agenda item. </w:t>
            </w:r>
          </w:p>
          <w:p w:rsidR="00663DED" w:rsidRPr="00012E93" w:rsidRDefault="00663DED" w:rsidP="00C91E8F">
            <w:pPr>
              <w:pStyle w:val="Tabletext"/>
              <w:rPr>
                <w:lang w:val="en-US"/>
              </w:rPr>
            </w:pPr>
            <w:r w:rsidRPr="00012E93">
              <w:t>–</w:t>
            </w:r>
            <w:r w:rsidRPr="00012E93">
              <w:tab/>
              <w:t>Other frequency ranges, already allocated to the mobile service on a primary basis, supported by an administration, should also be included in the scope of the study.</w:t>
            </w:r>
          </w:p>
          <w:p w:rsidR="00663DED" w:rsidRPr="00012E93" w:rsidRDefault="00663DED" w:rsidP="00C91E8F">
            <w:pPr>
              <w:pStyle w:val="Tabletext"/>
              <w:rPr>
                <w:lang w:val="en-US"/>
              </w:rPr>
            </w:pPr>
            <w:r w:rsidRPr="00012E93">
              <w:t>–</w:t>
            </w:r>
            <w:r w:rsidRPr="00012E93">
              <w:tab/>
              <w:t>The frequency ranges for studies should include sufficient amount of spectrum in the ranges 6-10 GHz and 10-30 GHz in addition to bands above 30 GHz.</w:t>
            </w:r>
          </w:p>
          <w:p w:rsidR="00663DED" w:rsidRPr="00012E93" w:rsidRDefault="00663DED" w:rsidP="00C91E8F">
            <w:pPr>
              <w:pStyle w:val="Tabletext"/>
              <w:rPr>
                <w:lang w:val="en-US" w:eastAsia="ja-JP"/>
              </w:rPr>
            </w:pPr>
            <w:r w:rsidRPr="00012E93">
              <w:rPr>
                <w:lang w:val="en-US"/>
              </w:rPr>
              <w:t>–</w:t>
            </w:r>
            <w:r w:rsidRPr="00012E93">
              <w:rPr>
                <w:lang w:val="en-US"/>
              </w:rPr>
              <w:tab/>
              <w:t>Sufficient amount of spectrum should be included in order to ensure that WRC-19 will be able to respond to the requirements.</w:t>
            </w:r>
          </w:p>
        </w:tc>
      </w:tr>
      <w:tr w:rsidR="00663DED" w:rsidRPr="00012E93" w:rsidTr="00711EE0">
        <w:tc>
          <w:tcPr>
            <w:tcW w:w="1838" w:type="dxa"/>
          </w:tcPr>
          <w:p w:rsidR="00663DED" w:rsidRPr="00012E93" w:rsidRDefault="00663DED" w:rsidP="00C91E8F">
            <w:pPr>
              <w:pStyle w:val="Tabletext"/>
              <w:rPr>
                <w:lang w:val="ru-RU"/>
              </w:rPr>
            </w:pPr>
            <w:r w:rsidRPr="00012E93">
              <w:rPr>
                <w:lang w:val="ru-RU"/>
              </w:rPr>
              <w:lastRenderedPageBreak/>
              <w:t>B/70A24/1</w:t>
            </w:r>
          </w:p>
        </w:tc>
        <w:tc>
          <w:tcPr>
            <w:tcW w:w="12332" w:type="dxa"/>
          </w:tcPr>
          <w:p w:rsidR="00663DED" w:rsidRPr="00012E93" w:rsidRDefault="00663DED" w:rsidP="00C91E8F">
            <w:pPr>
              <w:pStyle w:val="Tabletext"/>
              <w:rPr>
                <w:lang w:val="en-US"/>
              </w:rPr>
            </w:pPr>
            <w:r w:rsidRPr="00012E93">
              <w:rPr>
                <w:lang w:val="en-US"/>
              </w:rPr>
              <w:t>1[IMT6GHz]</w:t>
            </w:r>
            <w:r w:rsidRPr="00012E93">
              <w:rPr>
                <w:lang w:val="en-US"/>
              </w:rPr>
              <w:tab/>
              <w:t>to consider the identification of frequency ranges to IMT in the range between 10 GHz and 76 GHz, in accordance with Resolution [B-B10] (WRC 15);</w:t>
            </w:r>
          </w:p>
        </w:tc>
      </w:tr>
      <w:tr w:rsidR="00663DED" w:rsidRPr="00012E93" w:rsidTr="00711EE0">
        <w:tc>
          <w:tcPr>
            <w:tcW w:w="1838" w:type="dxa"/>
          </w:tcPr>
          <w:p w:rsidR="00663DED" w:rsidRPr="00012E93" w:rsidRDefault="00663DED" w:rsidP="00C91E8F">
            <w:pPr>
              <w:pStyle w:val="Tabletext"/>
              <w:rPr>
                <w:lang w:val="en-US"/>
              </w:rPr>
            </w:pPr>
            <w:r w:rsidRPr="00012E93">
              <w:t>CHN/62A24/1</w:t>
            </w:r>
          </w:p>
        </w:tc>
        <w:tc>
          <w:tcPr>
            <w:tcW w:w="12332" w:type="dxa"/>
          </w:tcPr>
          <w:p w:rsidR="00663DED" w:rsidRPr="00012E93" w:rsidRDefault="00663DED" w:rsidP="00C91E8F">
            <w:pPr>
              <w:pStyle w:val="Tabletext"/>
              <w:rPr>
                <w:lang w:val="en-US"/>
              </w:rPr>
            </w:pPr>
            <w:r w:rsidRPr="00012E93">
              <w:rPr>
                <w:lang w:val="en-US"/>
              </w:rPr>
              <w:t>1.3</w:t>
            </w:r>
            <w:r w:rsidRPr="00012E93">
              <w:rPr>
                <w:lang w:val="en-US"/>
              </w:rPr>
              <w:tab/>
              <w:t xml:space="preserve">to consider identification of frequency bands for IMT in portion(s) of the frequency range between 22 and 86 GHz including possible additional allocations to the mobile service on a primary basis in accordance with Resolution </w:t>
            </w:r>
            <w:r w:rsidRPr="00012E93">
              <w:rPr>
                <w:b/>
                <w:lang w:val="en-US"/>
              </w:rPr>
              <w:t>[CHN-D10-NEW A.I._IMT_ABOVE_6GHZ] (WRC</w:t>
            </w:r>
            <w:r w:rsidRPr="00012E93">
              <w:rPr>
                <w:b/>
                <w:lang w:val="en-US"/>
              </w:rPr>
              <w:noBreakHyphen/>
              <w:t>15)</w:t>
            </w:r>
            <w:r w:rsidRPr="00012E93">
              <w:rPr>
                <w:lang w:val="en-US"/>
              </w:rPr>
              <w:t>;</w:t>
            </w:r>
          </w:p>
        </w:tc>
      </w:tr>
      <w:tr w:rsidR="00663DED" w:rsidRPr="00012E93" w:rsidTr="00711EE0">
        <w:tc>
          <w:tcPr>
            <w:tcW w:w="1838" w:type="dxa"/>
          </w:tcPr>
          <w:p w:rsidR="00663DED" w:rsidRPr="00012E93" w:rsidRDefault="00663DED" w:rsidP="00C91E8F">
            <w:pPr>
              <w:pStyle w:val="Tabletext"/>
              <w:rPr>
                <w:lang w:val="en-US"/>
              </w:rPr>
            </w:pPr>
            <w:r w:rsidRPr="00012E93">
              <w:rPr>
                <w:lang w:val="ru-RU"/>
              </w:rPr>
              <w:t>RCC/8A25/2</w:t>
            </w:r>
          </w:p>
        </w:tc>
        <w:tc>
          <w:tcPr>
            <w:tcW w:w="12332" w:type="dxa"/>
          </w:tcPr>
          <w:p w:rsidR="00663DED" w:rsidRPr="00012E93" w:rsidRDefault="00663DED" w:rsidP="00C91E8F">
            <w:pPr>
              <w:pStyle w:val="Tabletext"/>
              <w:rPr>
                <w:lang w:val="en-US"/>
              </w:rPr>
            </w:pPr>
            <w:r w:rsidRPr="00012E93">
              <w:rPr>
                <w:lang w:val="en-US"/>
              </w:rPr>
              <w:t xml:space="preserve">1.1 </w:t>
            </w:r>
            <w:r w:rsidRPr="00012E93">
              <w:rPr>
                <w:lang w:val="en-US"/>
              </w:rPr>
              <w:tab/>
              <w:t xml:space="preserve">to consider possible additional spectrum allocations to the mobile service on a primary basis and identification of additional frequency bands for International Mobile Telecommunications (IMT) in the frequency bands, or parts of the frequency bands, 25.5-27.5 GHz, 31.8-33.4 GHz, 39.5-40.5 GHz, 40.5-41.5 GHz, 45.5-47.5 GHz, 48.5-50.2 GHz, 50.4-52.6 GHz, 66-71 GHz, 71-76 GHz and 81-86 GHz, in accordance with Resolution </w:t>
            </w:r>
            <w:r w:rsidRPr="00012E93">
              <w:rPr>
                <w:b/>
                <w:lang w:val="en-US"/>
              </w:rPr>
              <w:t>[RCC-B10-IMT TBD] (WRC</w:t>
            </w:r>
            <w:r w:rsidRPr="00012E93">
              <w:rPr>
                <w:b/>
                <w:lang w:val="en-US"/>
              </w:rPr>
              <w:noBreakHyphen/>
              <w:t>15)</w:t>
            </w:r>
            <w:r w:rsidRPr="00012E93">
              <w:rPr>
                <w:lang w:val="en-US"/>
              </w:rPr>
              <w:t>;</w:t>
            </w:r>
          </w:p>
        </w:tc>
      </w:tr>
      <w:tr w:rsidR="00663DED" w:rsidRPr="00012E93" w:rsidTr="00711EE0">
        <w:tc>
          <w:tcPr>
            <w:tcW w:w="1838" w:type="dxa"/>
          </w:tcPr>
          <w:p w:rsidR="00663DED" w:rsidRPr="00012E93" w:rsidRDefault="00663DED" w:rsidP="00C91E8F">
            <w:pPr>
              <w:pStyle w:val="Tabletext"/>
              <w:rPr>
                <w:lang w:val="en-US"/>
              </w:rPr>
            </w:pPr>
            <w:r w:rsidRPr="00012E93">
              <w:rPr>
                <w:lang w:val="ru-RU"/>
              </w:rPr>
              <w:t>ARB/25A22/2</w:t>
            </w:r>
          </w:p>
        </w:tc>
        <w:tc>
          <w:tcPr>
            <w:tcW w:w="12332" w:type="dxa"/>
          </w:tcPr>
          <w:p w:rsidR="00663DED" w:rsidRPr="00012E93" w:rsidRDefault="00663DED" w:rsidP="00C91E8F">
            <w:pPr>
              <w:pStyle w:val="Tabletext"/>
              <w:rPr>
                <w:lang w:val="en-US"/>
              </w:rPr>
            </w:pPr>
            <w:r w:rsidRPr="00012E93">
              <w:rPr>
                <w:lang w:val="en-US"/>
              </w:rPr>
              <w:t>1.1</w:t>
            </w:r>
            <w:r w:rsidRPr="00012E93">
              <w:rPr>
                <w:lang w:val="en-US"/>
              </w:rPr>
              <w:tab/>
              <w:t>to consider additional spectrum allocations to the mobile service on a primary basis and identification of frequency bands above 31 GHz for International Mobile Telecommunications (IMT) and related regulatory provisions, to facilitate the development of terrestrial mobile broadband applications;</w:t>
            </w:r>
          </w:p>
        </w:tc>
      </w:tr>
      <w:tr w:rsidR="00663DED" w:rsidRPr="00012E93" w:rsidTr="00711EE0">
        <w:tc>
          <w:tcPr>
            <w:tcW w:w="1838" w:type="dxa"/>
          </w:tcPr>
          <w:p w:rsidR="00663DED" w:rsidRPr="00012E93" w:rsidRDefault="00663DED" w:rsidP="00C91E8F">
            <w:pPr>
              <w:pStyle w:val="Tabletext"/>
              <w:rPr>
                <w:lang w:val="en-US"/>
              </w:rPr>
            </w:pPr>
            <w:r w:rsidRPr="00012E93">
              <w:rPr>
                <w:lang w:val="en-US"/>
              </w:rPr>
              <w:t>BEN/BFA/CTI/</w:t>
            </w:r>
          </w:p>
          <w:p w:rsidR="00663DED" w:rsidRPr="00012E93" w:rsidRDefault="00663DED" w:rsidP="00C91E8F">
            <w:pPr>
              <w:pStyle w:val="Tabletext"/>
              <w:rPr>
                <w:lang w:val="en-US"/>
              </w:rPr>
            </w:pPr>
            <w:r w:rsidRPr="00012E93">
              <w:rPr>
                <w:lang w:val="en-US"/>
              </w:rPr>
              <w:t>GHA/GUI/MLI/NGR/NIG/ SEN/SRL/TGO/</w:t>
            </w:r>
          </w:p>
          <w:p w:rsidR="00663DED" w:rsidRPr="00E70629" w:rsidRDefault="00663DED" w:rsidP="00E70629">
            <w:pPr>
              <w:pStyle w:val="Tabletext"/>
              <w:rPr>
                <w:lang w:val="ru-RU"/>
              </w:rPr>
            </w:pPr>
            <w:r w:rsidRPr="00012E93">
              <w:rPr>
                <w:lang w:val="ru-RU"/>
              </w:rPr>
              <w:t>104/1</w:t>
            </w:r>
          </w:p>
        </w:tc>
        <w:tc>
          <w:tcPr>
            <w:tcW w:w="12332" w:type="dxa"/>
          </w:tcPr>
          <w:p w:rsidR="00663DED" w:rsidRPr="00012E93" w:rsidRDefault="00663DED" w:rsidP="00C91E8F">
            <w:pPr>
              <w:pStyle w:val="Tabletext"/>
              <w:rPr>
                <w:lang w:val="en-US"/>
              </w:rPr>
            </w:pPr>
            <w:r w:rsidRPr="00012E93">
              <w:rPr>
                <w:lang w:val="en-US"/>
              </w:rPr>
              <w:t xml:space="preserve">to conduct studies on frequencies between 6 GHz to 100 GHz excluding the under listed frequency bands to guide decisions at WRC-19: </w:t>
            </w:r>
          </w:p>
          <w:p w:rsidR="00663DED" w:rsidRPr="00012E93" w:rsidRDefault="00663DED" w:rsidP="00C91E8F">
            <w:pPr>
              <w:pStyle w:val="Tabletext"/>
              <w:rPr>
                <w:color w:val="282828"/>
                <w:lang w:val="en-US"/>
              </w:rPr>
            </w:pPr>
            <w:r w:rsidRPr="00012E93">
              <w:rPr>
                <w:lang w:val="en-US"/>
              </w:rPr>
              <w:t>1</w:t>
            </w:r>
            <w:r w:rsidRPr="00012E93">
              <w:rPr>
                <w:lang w:val="en-US"/>
              </w:rPr>
              <w:tab/>
              <w:t>5 925 to 7 075 MHz</w:t>
            </w:r>
          </w:p>
          <w:p w:rsidR="00663DED" w:rsidRPr="00012E93" w:rsidRDefault="00663DED" w:rsidP="00C91E8F">
            <w:pPr>
              <w:pStyle w:val="Tabletext"/>
              <w:rPr>
                <w:color w:val="282828"/>
                <w:lang w:val="en-US"/>
              </w:rPr>
            </w:pPr>
            <w:r w:rsidRPr="00012E93">
              <w:rPr>
                <w:lang w:val="en-US"/>
              </w:rPr>
              <w:t>2</w:t>
            </w:r>
            <w:r w:rsidRPr="00012E93">
              <w:rPr>
                <w:lang w:val="en-US"/>
              </w:rPr>
              <w:tab/>
              <w:t>10.70 to 14.8 GHz</w:t>
            </w:r>
          </w:p>
          <w:p w:rsidR="00663DED" w:rsidRPr="00012E93" w:rsidRDefault="00663DED" w:rsidP="00C91E8F">
            <w:pPr>
              <w:pStyle w:val="Tabletext"/>
              <w:rPr>
                <w:color w:val="282828"/>
                <w:lang w:val="en-US"/>
              </w:rPr>
            </w:pPr>
            <w:r w:rsidRPr="00012E93">
              <w:rPr>
                <w:lang w:val="en-US"/>
              </w:rPr>
              <w:t>3</w:t>
            </w:r>
            <w:r w:rsidRPr="00012E93">
              <w:rPr>
                <w:lang w:val="en-US"/>
              </w:rPr>
              <w:tab/>
              <w:t>17.3 to 21.2 GHz</w:t>
            </w:r>
          </w:p>
          <w:p w:rsidR="00663DED" w:rsidRPr="00012E93" w:rsidRDefault="00663DED" w:rsidP="00C91E8F">
            <w:pPr>
              <w:pStyle w:val="Tabletext"/>
              <w:rPr>
                <w:color w:val="282828"/>
                <w:lang w:val="en-US"/>
              </w:rPr>
            </w:pPr>
            <w:r w:rsidRPr="00012E93">
              <w:rPr>
                <w:lang w:val="en-US"/>
              </w:rPr>
              <w:t>4</w:t>
            </w:r>
            <w:r w:rsidRPr="00012E93">
              <w:rPr>
                <w:lang w:val="en-US"/>
              </w:rPr>
              <w:tab/>
              <w:t>21.4 to 22.0 GHz</w:t>
            </w:r>
          </w:p>
          <w:p w:rsidR="00663DED" w:rsidRPr="00012E93" w:rsidRDefault="00663DED" w:rsidP="00C91E8F">
            <w:pPr>
              <w:pStyle w:val="Tabletext"/>
              <w:rPr>
                <w:lang w:val="en-US"/>
              </w:rPr>
            </w:pPr>
            <w:r w:rsidRPr="00012E93">
              <w:rPr>
                <w:lang w:val="en-US"/>
              </w:rPr>
              <w:t>5</w:t>
            </w:r>
            <w:r w:rsidRPr="00012E93">
              <w:rPr>
                <w:lang w:val="en-US"/>
              </w:rPr>
              <w:tab/>
              <w:t>27.5 to 31.0 GHz</w:t>
            </w:r>
          </w:p>
        </w:tc>
      </w:tr>
      <w:tr w:rsidR="00663DED" w:rsidRPr="00012E93" w:rsidTr="00711EE0">
        <w:tc>
          <w:tcPr>
            <w:tcW w:w="1838" w:type="dxa"/>
          </w:tcPr>
          <w:p w:rsidR="00663DED" w:rsidRPr="00012E93" w:rsidRDefault="00663DED" w:rsidP="00E70629">
            <w:pPr>
              <w:pStyle w:val="Tabletext"/>
              <w:rPr>
                <w:lang w:val="en-US"/>
              </w:rPr>
            </w:pPr>
            <w:r w:rsidRPr="00012E93">
              <w:rPr>
                <w:lang w:val="en-US"/>
              </w:rPr>
              <w:t>ASP/32A24/5</w:t>
            </w:r>
          </w:p>
        </w:tc>
        <w:tc>
          <w:tcPr>
            <w:tcW w:w="12332" w:type="dxa"/>
          </w:tcPr>
          <w:p w:rsidR="00663DED" w:rsidRPr="00012E93" w:rsidRDefault="00663DED" w:rsidP="00C91E8F">
            <w:pPr>
              <w:pStyle w:val="Tabletext"/>
              <w:rPr>
                <w:b/>
                <w:lang w:val="en-US"/>
              </w:rPr>
            </w:pPr>
            <w:r w:rsidRPr="00012E93">
              <w:rPr>
                <w:lang w:val="en-US" w:eastAsia="ko-KR"/>
              </w:rPr>
              <w:t>1.</w:t>
            </w:r>
            <w:r w:rsidRPr="00012E93">
              <w:rPr>
                <w:lang w:val="en-US" w:eastAsia="zh-CN"/>
              </w:rPr>
              <w:t>1</w:t>
            </w:r>
            <w:r w:rsidRPr="00012E93">
              <w:rPr>
                <w:lang w:val="en-US"/>
              </w:rPr>
              <w:tab/>
              <w:t>t</w:t>
            </w:r>
            <w:r w:rsidRPr="00012E93">
              <w:rPr>
                <w:lang w:val="en-US" w:eastAsia="ko-KR"/>
              </w:rPr>
              <w:t xml:space="preserve">o consider identification </w:t>
            </w:r>
            <w:r w:rsidRPr="00012E93">
              <w:rPr>
                <w:lang w:val="en-US" w:eastAsia="ja-JP"/>
              </w:rPr>
              <w:t xml:space="preserve">of frequency bands for </w:t>
            </w:r>
            <w:r w:rsidRPr="00012E93">
              <w:rPr>
                <w:lang w:val="en-US" w:eastAsia="ko-KR"/>
              </w:rPr>
              <w:t xml:space="preserve">IMT including possible additional allocations to </w:t>
            </w:r>
            <w:r w:rsidRPr="00012E93">
              <w:rPr>
                <w:lang w:val="en-US" w:eastAsia="ja-JP"/>
              </w:rPr>
              <w:t xml:space="preserve">the </w:t>
            </w:r>
            <w:r w:rsidRPr="00012E93">
              <w:rPr>
                <w:lang w:val="en-US" w:eastAsia="ko-KR"/>
              </w:rPr>
              <w:t xml:space="preserve">mobile service on a primary </w:t>
            </w:r>
            <w:r w:rsidRPr="00012E93">
              <w:rPr>
                <w:lang w:val="en-US" w:eastAsia="ja-JP"/>
              </w:rPr>
              <w:t xml:space="preserve">basis </w:t>
            </w:r>
            <w:r w:rsidRPr="00012E93">
              <w:rPr>
                <w:lang w:val="en-US" w:eastAsia="ko-KR"/>
              </w:rPr>
              <w:t xml:space="preserve">in accordance with Resolution </w:t>
            </w:r>
            <w:r w:rsidRPr="00012E93">
              <w:rPr>
                <w:b/>
                <w:lang w:val="en-US" w:eastAsia="zh-CN"/>
              </w:rPr>
              <w:t>[ASP-B10-IMT ABOVE 6 GHz] (WRC</w:t>
            </w:r>
            <w:r w:rsidRPr="00012E93">
              <w:rPr>
                <w:b/>
                <w:lang w:val="en-US" w:eastAsia="zh-CN"/>
              </w:rPr>
              <w:noBreakHyphen/>
              <w:t>15)</w:t>
            </w:r>
            <w:r w:rsidRPr="00012E93">
              <w:rPr>
                <w:b/>
                <w:lang w:val="en-US" w:eastAsia="ja-JP"/>
              </w:rPr>
              <w:t xml:space="preserve"> (Attachment 1)</w:t>
            </w:r>
            <w:r w:rsidRPr="00012E93">
              <w:rPr>
                <w:lang w:val="en-US" w:eastAsia="zh-CN"/>
              </w:rPr>
              <w:t>;</w:t>
            </w:r>
          </w:p>
        </w:tc>
      </w:tr>
      <w:tr w:rsidR="00663DED" w:rsidRPr="00012E93" w:rsidTr="00711EE0">
        <w:tc>
          <w:tcPr>
            <w:tcW w:w="1838" w:type="dxa"/>
          </w:tcPr>
          <w:p w:rsidR="00663DED" w:rsidRPr="00012E93" w:rsidRDefault="00663DED" w:rsidP="00C91E8F">
            <w:pPr>
              <w:pStyle w:val="Tabletext"/>
              <w:rPr>
                <w:lang w:val="ru-RU" w:eastAsia="zh-CN"/>
              </w:rPr>
            </w:pPr>
            <w:r w:rsidRPr="00012E93">
              <w:rPr>
                <w:lang w:val="ru-RU"/>
              </w:rPr>
              <w:t>IAP/7A24A11/1</w:t>
            </w:r>
          </w:p>
        </w:tc>
        <w:tc>
          <w:tcPr>
            <w:tcW w:w="12332" w:type="dxa"/>
          </w:tcPr>
          <w:p w:rsidR="00663DED" w:rsidRPr="00012E93" w:rsidRDefault="00663DED" w:rsidP="00C91E8F">
            <w:pPr>
              <w:pStyle w:val="Tabletext"/>
              <w:rPr>
                <w:i/>
                <w:lang w:val="en-US"/>
              </w:rPr>
            </w:pPr>
            <w:r w:rsidRPr="00012E93">
              <w:rPr>
                <w:lang w:val="en-US" w:eastAsia="zh-CN"/>
              </w:rPr>
              <w:t>1[IMT6GHz]</w:t>
            </w:r>
            <w:r w:rsidRPr="00012E93">
              <w:rPr>
                <w:lang w:val="en-US" w:eastAsia="zh-CN"/>
              </w:rPr>
              <w:tab/>
              <w:t xml:space="preserve">to consider the identification of frequency ranges to IMT in the range between 10 GHz and 76 GHz, in accordance with Resolution </w:t>
            </w:r>
            <w:r w:rsidRPr="00012E93">
              <w:rPr>
                <w:b/>
                <w:lang w:val="en-US" w:eastAsia="zh-CN"/>
              </w:rPr>
              <w:t>[IAP-10K-IMT6GHz] (WRC</w:t>
            </w:r>
            <w:r w:rsidRPr="00012E93">
              <w:rPr>
                <w:b/>
                <w:lang w:val="en-US" w:eastAsia="zh-CN"/>
              </w:rPr>
              <w:noBreakHyphen/>
              <w:t>15)</w:t>
            </w:r>
            <w:r w:rsidRPr="00012E93">
              <w:rPr>
                <w:lang w:val="en-US" w:eastAsia="zh-CN"/>
              </w:rPr>
              <w:t>;</w:t>
            </w:r>
          </w:p>
        </w:tc>
      </w:tr>
      <w:tr w:rsidR="00663DED" w:rsidRPr="00012E93" w:rsidTr="00711EE0">
        <w:tc>
          <w:tcPr>
            <w:tcW w:w="1838" w:type="dxa"/>
          </w:tcPr>
          <w:p w:rsidR="00663DED" w:rsidRPr="00012E93" w:rsidRDefault="00663DED" w:rsidP="00C91E8F">
            <w:pPr>
              <w:pStyle w:val="Tabletext"/>
              <w:rPr>
                <w:lang w:val="en-US"/>
              </w:rPr>
            </w:pPr>
            <w:r w:rsidRPr="00012E93">
              <w:rPr>
                <w:lang w:val="ru-RU"/>
              </w:rPr>
              <w:t>IND/107A24/5</w:t>
            </w:r>
          </w:p>
        </w:tc>
        <w:tc>
          <w:tcPr>
            <w:tcW w:w="12332" w:type="dxa"/>
          </w:tcPr>
          <w:p w:rsidR="00663DED" w:rsidRPr="00012E93" w:rsidRDefault="00663DED" w:rsidP="00C91E8F">
            <w:pPr>
              <w:pStyle w:val="Tabletext"/>
              <w:rPr>
                <w:lang w:val="en-US"/>
              </w:rPr>
            </w:pPr>
            <w:r w:rsidRPr="00012E93">
              <w:rPr>
                <w:lang w:val="en-US" w:eastAsia="ko-KR"/>
              </w:rPr>
              <w:t>1.</w:t>
            </w:r>
            <w:r w:rsidRPr="00012E93">
              <w:rPr>
                <w:lang w:val="en-US" w:eastAsia="zh-CN"/>
              </w:rPr>
              <w:t>1</w:t>
            </w:r>
            <w:r w:rsidRPr="00012E93">
              <w:rPr>
                <w:lang w:val="en-US"/>
              </w:rPr>
              <w:tab/>
              <w:t>t</w:t>
            </w:r>
            <w:r w:rsidRPr="00012E93">
              <w:rPr>
                <w:lang w:val="en-US" w:eastAsia="ko-KR"/>
              </w:rPr>
              <w:t xml:space="preserve">o consider identification </w:t>
            </w:r>
            <w:r w:rsidRPr="00012E93">
              <w:rPr>
                <w:lang w:val="en-US" w:eastAsia="ja-JP"/>
              </w:rPr>
              <w:t xml:space="preserve">of frequency bands for </w:t>
            </w:r>
            <w:r w:rsidRPr="00012E93">
              <w:rPr>
                <w:lang w:val="en-US" w:eastAsia="ko-KR"/>
              </w:rPr>
              <w:t xml:space="preserve">IMT including possible additional allocations to </w:t>
            </w:r>
            <w:r w:rsidRPr="00012E93">
              <w:rPr>
                <w:lang w:val="en-US" w:eastAsia="ja-JP"/>
              </w:rPr>
              <w:t xml:space="preserve">the </w:t>
            </w:r>
            <w:r w:rsidRPr="00012E93">
              <w:rPr>
                <w:lang w:val="en-US" w:eastAsia="ko-KR"/>
              </w:rPr>
              <w:t xml:space="preserve">mobile service on a primary </w:t>
            </w:r>
            <w:r w:rsidRPr="00012E93">
              <w:rPr>
                <w:lang w:val="en-US" w:eastAsia="ja-JP"/>
              </w:rPr>
              <w:t xml:space="preserve">basis </w:t>
            </w:r>
            <w:r w:rsidRPr="00012E93">
              <w:rPr>
                <w:lang w:val="en-US" w:eastAsia="ko-KR"/>
              </w:rPr>
              <w:t xml:space="preserve">in accordance with Resolution </w:t>
            </w:r>
            <w:r w:rsidRPr="00012E93">
              <w:rPr>
                <w:b/>
                <w:lang w:val="en-US" w:eastAsia="zh-CN"/>
              </w:rPr>
              <w:t>[IND-B10- IMT_ABOVE_6GHz] (WRC-15)</w:t>
            </w:r>
            <w:r w:rsidRPr="00012E93">
              <w:rPr>
                <w:b/>
                <w:lang w:val="en-US" w:eastAsia="ja-JP"/>
              </w:rPr>
              <w:t xml:space="preserve"> </w:t>
            </w:r>
            <w:r w:rsidRPr="00012E93">
              <w:rPr>
                <w:lang w:val="en-US" w:eastAsia="ja-JP"/>
              </w:rPr>
              <w:t>(Attachment 1)</w:t>
            </w:r>
            <w:r w:rsidRPr="00012E93">
              <w:rPr>
                <w:lang w:val="en-US" w:eastAsia="zh-CN"/>
              </w:rPr>
              <w:t>;</w:t>
            </w:r>
          </w:p>
        </w:tc>
      </w:tr>
      <w:tr w:rsidR="00663DED" w:rsidRPr="00012E93" w:rsidTr="00711EE0">
        <w:tc>
          <w:tcPr>
            <w:tcW w:w="1838" w:type="dxa"/>
          </w:tcPr>
          <w:p w:rsidR="00663DED" w:rsidRPr="00012E93" w:rsidRDefault="00663DED" w:rsidP="00C91E8F">
            <w:pPr>
              <w:pStyle w:val="Tabletext"/>
              <w:rPr>
                <w:lang w:val="en-US"/>
              </w:rPr>
            </w:pPr>
            <w:r w:rsidRPr="00012E93">
              <w:rPr>
                <w:lang w:val="ru-RU"/>
              </w:rPr>
              <w:t>J</w:t>
            </w:r>
            <w:r w:rsidRPr="00012E93">
              <w:rPr>
                <w:lang w:val="en-US"/>
              </w:rPr>
              <w:t>/SGN/117</w:t>
            </w:r>
          </w:p>
        </w:tc>
        <w:tc>
          <w:tcPr>
            <w:tcW w:w="12332" w:type="dxa"/>
          </w:tcPr>
          <w:p w:rsidR="00663DED" w:rsidRPr="00012E93" w:rsidRDefault="00663DED" w:rsidP="00C91E8F">
            <w:pPr>
              <w:pStyle w:val="Tabletext"/>
              <w:rPr>
                <w:b/>
                <w:lang w:val="en-US" w:eastAsia="ja-JP"/>
              </w:rPr>
            </w:pPr>
            <w:r w:rsidRPr="00012E93">
              <w:rPr>
                <w:b/>
                <w:lang w:val="en-US" w:eastAsia="ja-JP"/>
              </w:rPr>
              <w:t>Proposals</w:t>
            </w:r>
          </w:p>
          <w:p w:rsidR="00663DED" w:rsidRPr="00012E93" w:rsidRDefault="00663DED" w:rsidP="00C91E8F">
            <w:pPr>
              <w:pStyle w:val="Tabletext"/>
              <w:rPr>
                <w:lang w:val="en-US" w:eastAsia="ja-JP"/>
              </w:rPr>
            </w:pPr>
            <w:r w:rsidRPr="00012E93">
              <w:rPr>
                <w:lang w:val="en-US" w:eastAsia="ja-JP"/>
              </w:rPr>
              <w:t>Based on the discussion in Section 2 above, Japan and Singapore propose to adopt the following principles when discussing the new agenda item for WRC-19 regarding IMT identification in the frequency bands above 6 GHz:</w:t>
            </w:r>
          </w:p>
          <w:p w:rsidR="00663DED" w:rsidRPr="00012E93" w:rsidRDefault="00663DED" w:rsidP="00C91E8F">
            <w:pPr>
              <w:pStyle w:val="Tabletext"/>
              <w:rPr>
                <w:lang w:val="en-US" w:eastAsia="ja-JP"/>
              </w:rPr>
            </w:pPr>
            <w:r w:rsidRPr="00012E93">
              <w:rPr>
                <w:lang w:val="en-US"/>
              </w:rPr>
              <w:lastRenderedPageBreak/>
              <w:t>–</w:t>
            </w:r>
            <w:r w:rsidRPr="00012E93">
              <w:rPr>
                <w:lang w:val="en-US"/>
              </w:rPr>
              <w:tab/>
            </w:r>
            <w:r w:rsidRPr="00012E93">
              <w:rPr>
                <w:lang w:val="en-US" w:eastAsia="ja-JP"/>
              </w:rPr>
              <w:t>T</w:t>
            </w:r>
            <w:r w:rsidRPr="00012E93">
              <w:rPr>
                <w:lang w:val="en-US"/>
              </w:rPr>
              <w:t>he freq</w:t>
            </w:r>
            <w:r w:rsidRPr="00012E93">
              <w:rPr>
                <w:lang w:val="en-US" w:eastAsia="ja-JP"/>
              </w:rPr>
              <w:t>ue</w:t>
            </w:r>
            <w:r w:rsidRPr="00012E93">
              <w:rPr>
                <w:lang w:val="en-US"/>
              </w:rPr>
              <w:t>ncy ranges proposed by the regional groups should be included in the scope of the study under the new agenda item. Furth</w:t>
            </w:r>
            <w:r w:rsidRPr="00012E93">
              <w:rPr>
                <w:lang w:val="en-US" w:eastAsia="ja-JP"/>
              </w:rPr>
              <w:t>e</w:t>
            </w:r>
            <w:r w:rsidRPr="00012E93">
              <w:rPr>
                <w:lang w:val="en-US"/>
              </w:rPr>
              <w:t>rmore, the frequency ranges supported by some administrations, which are not covered by the regional groups’ proposals, should also be included in the scope of the study.</w:t>
            </w:r>
          </w:p>
          <w:p w:rsidR="00663DED" w:rsidRPr="00012E93" w:rsidRDefault="00663DED" w:rsidP="00C91E8F">
            <w:pPr>
              <w:pStyle w:val="Tabletext"/>
              <w:rPr>
                <w:lang w:val="en-US"/>
              </w:rPr>
            </w:pPr>
            <w:r w:rsidRPr="00012E93">
              <w:rPr>
                <w:lang w:val="en-US"/>
              </w:rPr>
              <w:t>–</w:t>
            </w:r>
            <w:r w:rsidRPr="00012E93">
              <w:rPr>
                <w:lang w:val="en-US"/>
              </w:rPr>
              <w:tab/>
            </w:r>
            <w:r w:rsidRPr="00012E93">
              <w:rPr>
                <w:lang w:eastAsia="ja-JP"/>
              </w:rPr>
              <w:t>Excluding some of the frequency ranges, before considering the results of sharing/compatibility studies, in particular, excluding the frequency bands that are already allocated to the mobile service on a primary basis, is not appropriate and should be avoided;</w:t>
            </w:r>
          </w:p>
          <w:p w:rsidR="00663DED" w:rsidRPr="00012E93" w:rsidRDefault="00663DED" w:rsidP="00C91E8F">
            <w:pPr>
              <w:pStyle w:val="Tabletext"/>
              <w:rPr>
                <w:lang w:val="en-US" w:eastAsia="ja-JP"/>
              </w:rPr>
            </w:pPr>
            <w:r w:rsidRPr="00012E93">
              <w:rPr>
                <w:lang w:val="en-US"/>
              </w:rPr>
              <w:t>–</w:t>
            </w:r>
            <w:r w:rsidRPr="00012E93">
              <w:rPr>
                <w:lang w:val="en-US"/>
              </w:rPr>
              <w:tab/>
              <w:t>I</w:t>
            </w:r>
            <w:r w:rsidRPr="00012E93">
              <w:t xml:space="preserve">t is essential to include frequency ranges </w:t>
            </w:r>
            <w:r w:rsidRPr="00012E93">
              <w:rPr>
                <w:lang w:val="en-US" w:eastAsia="ja-JP"/>
              </w:rPr>
              <w:t>between 6-</w:t>
            </w:r>
            <w:r w:rsidRPr="00012E93">
              <w:t>30 GHz for study under this new agenda item as various use cases and associated requirements for IMT in the bands above 6 GHz will be further elaborated in the next study cycle. In other words, frequency ranges to be studied under this agenda item should be carefully selected considering the balance between lower range (6-30 GHz) and middle &amp; higher ranges (30-100 GHz)</w:t>
            </w:r>
            <w:r w:rsidRPr="00012E93">
              <w:rPr>
                <w:lang w:val="en-US"/>
              </w:rPr>
              <w:t>.</w:t>
            </w:r>
          </w:p>
          <w:p w:rsidR="00663DED" w:rsidRPr="00012E93" w:rsidRDefault="00663DED" w:rsidP="00C91E8F">
            <w:pPr>
              <w:pStyle w:val="Tabletext"/>
              <w:rPr>
                <w:lang w:val="en-US"/>
              </w:rPr>
            </w:pPr>
            <w:r w:rsidRPr="00012E93">
              <w:rPr>
                <w:lang w:val="en-US"/>
              </w:rPr>
              <w:t>Considering the above aspects, in addition to the frequency ranges indicated in the ACP, Japan</w:t>
            </w:r>
            <w:r w:rsidRPr="00012E93">
              <w:rPr>
                <w:lang w:val="en-US" w:eastAsia="ja-JP"/>
              </w:rPr>
              <w:t xml:space="preserve"> and Singapore</w:t>
            </w:r>
            <w:r w:rsidRPr="00012E93">
              <w:rPr>
                <w:lang w:val="en-US"/>
              </w:rPr>
              <w:t xml:space="preserve"> also propose to include the following frequency ranges for study under this agenda item:</w:t>
            </w:r>
          </w:p>
          <w:p w:rsidR="00663DED" w:rsidRPr="00012E93" w:rsidRDefault="00663DED" w:rsidP="00C91E8F">
            <w:pPr>
              <w:pStyle w:val="Tabletext"/>
            </w:pPr>
            <w:r w:rsidRPr="00012E93">
              <w:rPr>
                <w:lang w:val="en-US"/>
              </w:rPr>
              <w:t>–</w:t>
            </w:r>
            <w:r w:rsidRPr="00012E93">
              <w:rPr>
                <w:lang w:val="en-US"/>
              </w:rPr>
              <w:tab/>
              <w:t>6</w:t>
            </w:r>
            <w:r w:rsidRPr="00012E93">
              <w:rPr>
                <w:lang w:val="en-US" w:eastAsia="ja-JP"/>
              </w:rPr>
              <w:t>-</w:t>
            </w:r>
            <w:r w:rsidRPr="00012E93">
              <w:rPr>
                <w:lang w:val="en-US"/>
              </w:rPr>
              <w:t>8.5 GHz</w:t>
            </w:r>
            <w:r w:rsidRPr="00012E93">
              <w:rPr>
                <w:lang w:val="en-US" w:eastAsia="ja-JP"/>
              </w:rPr>
              <w:t xml:space="preserve">, </w:t>
            </w:r>
            <w:r w:rsidRPr="00012E93">
              <w:rPr>
                <w:lang w:val="en-US"/>
              </w:rPr>
              <w:t>10</w:t>
            </w:r>
            <w:r w:rsidRPr="00012E93">
              <w:rPr>
                <w:lang w:val="en-US" w:eastAsia="ja-JP"/>
              </w:rPr>
              <w:t>-</w:t>
            </w:r>
            <w:r w:rsidRPr="00012E93">
              <w:rPr>
                <w:lang w:val="en-US"/>
              </w:rPr>
              <w:t>10.5 GHz</w:t>
            </w:r>
            <w:r w:rsidRPr="00012E93">
              <w:rPr>
                <w:lang w:val="en-US" w:eastAsia="ja-JP"/>
              </w:rPr>
              <w:t xml:space="preserve">, </w:t>
            </w:r>
            <w:r w:rsidRPr="00012E93">
              <w:rPr>
                <w:lang w:val="en-US"/>
              </w:rPr>
              <w:t>14.4</w:t>
            </w:r>
            <w:r w:rsidRPr="00012E93">
              <w:rPr>
                <w:lang w:val="en-US" w:eastAsia="ja-JP"/>
              </w:rPr>
              <w:t>-</w:t>
            </w:r>
            <w:r w:rsidRPr="00012E93">
              <w:rPr>
                <w:lang w:val="en-US"/>
              </w:rPr>
              <w:t>15.35 GHz</w:t>
            </w:r>
            <w:r w:rsidRPr="00012E93">
              <w:rPr>
                <w:lang w:val="en-US" w:eastAsia="ja-JP"/>
              </w:rPr>
              <w:t xml:space="preserve">, </w:t>
            </w:r>
            <w:r w:rsidRPr="00012E93">
              <w:rPr>
                <w:lang w:val="en-US"/>
              </w:rPr>
              <w:t>25.5</w:t>
            </w:r>
            <w:r w:rsidRPr="00012E93">
              <w:rPr>
                <w:lang w:val="en-US" w:eastAsia="ja-JP"/>
              </w:rPr>
              <w:t>-</w:t>
            </w:r>
            <w:r w:rsidRPr="00012E93">
              <w:rPr>
                <w:lang w:val="en-US"/>
              </w:rPr>
              <w:t>29.5 GHz</w:t>
            </w:r>
            <w:r w:rsidRPr="00012E93">
              <w:rPr>
                <w:lang w:val="en-US" w:eastAsia="ja-JP"/>
              </w:rPr>
              <w:t>, and 37-39 GHz.</w:t>
            </w:r>
          </w:p>
        </w:tc>
      </w:tr>
      <w:tr w:rsidR="00663DED" w:rsidRPr="00012E93" w:rsidTr="00711EE0">
        <w:tc>
          <w:tcPr>
            <w:tcW w:w="1838" w:type="dxa"/>
          </w:tcPr>
          <w:p w:rsidR="00663DED" w:rsidRPr="00012E93" w:rsidRDefault="00663DED" w:rsidP="00C91E8F">
            <w:pPr>
              <w:pStyle w:val="Tabletext"/>
              <w:rPr>
                <w:lang w:val="en-US"/>
              </w:rPr>
            </w:pPr>
            <w:r w:rsidRPr="00012E93">
              <w:rPr>
                <w:lang w:val="en-US"/>
              </w:rPr>
              <w:lastRenderedPageBreak/>
              <w:t>UGA/82A24/1</w:t>
            </w:r>
          </w:p>
        </w:tc>
        <w:tc>
          <w:tcPr>
            <w:tcW w:w="12332" w:type="dxa"/>
          </w:tcPr>
          <w:p w:rsidR="00663DED" w:rsidRPr="00012E93" w:rsidRDefault="0044134C" w:rsidP="00C91E8F">
            <w:pPr>
              <w:pStyle w:val="Tabletext"/>
              <w:rPr>
                <w:lang w:val="en-US"/>
              </w:rPr>
            </w:pPr>
            <w:r w:rsidRPr="00115D2C">
              <w:t>Future of 5G/IMT above 6 GHz keeping in view current usage, existing services in and adjacent to ranges proposed for study, trends in usage and time to conduct studies among others</w:t>
            </w:r>
          </w:p>
        </w:tc>
      </w:tr>
      <w:tr w:rsidR="00663DED" w:rsidRPr="00012E93" w:rsidTr="00711EE0">
        <w:tc>
          <w:tcPr>
            <w:tcW w:w="14170" w:type="dxa"/>
            <w:gridSpan w:val="2"/>
          </w:tcPr>
          <w:p w:rsidR="00663DED" w:rsidRPr="001D63AE" w:rsidRDefault="00663DED" w:rsidP="00C91E8F">
            <w:pPr>
              <w:pStyle w:val="Tabletext"/>
              <w:rPr>
                <w:b/>
                <w:lang w:val="en-US"/>
              </w:rPr>
            </w:pPr>
            <w:r w:rsidRPr="001D63AE">
              <w:rPr>
                <w:b/>
                <w:lang w:val="en-US"/>
              </w:rPr>
              <w:t>ISM</w:t>
            </w:r>
          </w:p>
        </w:tc>
      </w:tr>
      <w:tr w:rsidR="00663DED" w:rsidRPr="00012E93" w:rsidTr="00711EE0">
        <w:tc>
          <w:tcPr>
            <w:tcW w:w="1838" w:type="dxa"/>
          </w:tcPr>
          <w:p w:rsidR="00663DED" w:rsidRPr="00012E93" w:rsidRDefault="00663DED" w:rsidP="00C91E8F">
            <w:pPr>
              <w:pStyle w:val="Tabletext"/>
              <w:rPr>
                <w:lang w:val="en-US"/>
              </w:rPr>
            </w:pPr>
            <w:r w:rsidRPr="00012E93">
              <w:rPr>
                <w:lang w:val="ru-RU"/>
              </w:rPr>
              <w:t>IND/107A24/6</w:t>
            </w:r>
          </w:p>
        </w:tc>
        <w:tc>
          <w:tcPr>
            <w:tcW w:w="12332" w:type="dxa"/>
          </w:tcPr>
          <w:p w:rsidR="00663DED" w:rsidRPr="00012E93" w:rsidRDefault="00663DED" w:rsidP="00C91E8F">
            <w:pPr>
              <w:pStyle w:val="Tabletext"/>
              <w:rPr>
                <w:i/>
                <w:lang w:val="en-US"/>
              </w:rPr>
            </w:pPr>
            <w:r w:rsidRPr="00012E93">
              <w:rPr>
                <w:lang w:val="en-US"/>
              </w:rPr>
              <w:t>1.2</w:t>
            </w:r>
            <w:r w:rsidRPr="00012E93">
              <w:rPr>
                <w:lang w:val="en-US"/>
              </w:rPr>
              <w:tab/>
              <w:t>to consider identification of frequency bands for ISM applications including possible additional allocations to the ISM on a primary basis around 60 GHz and higher bands;</w:t>
            </w:r>
            <w:r w:rsidRPr="00012E93">
              <w:rPr>
                <w:i/>
                <w:lang w:val="en-US"/>
              </w:rPr>
              <w:t xml:space="preserve"> </w:t>
            </w:r>
          </w:p>
        </w:tc>
      </w:tr>
      <w:tr w:rsidR="00663DED" w:rsidRPr="00012E93" w:rsidTr="00711EE0">
        <w:tc>
          <w:tcPr>
            <w:tcW w:w="14170" w:type="dxa"/>
            <w:gridSpan w:val="2"/>
          </w:tcPr>
          <w:p w:rsidR="00663DED" w:rsidRPr="001D63AE" w:rsidRDefault="00663DED" w:rsidP="00C91E8F">
            <w:pPr>
              <w:pStyle w:val="Tabletext"/>
              <w:rPr>
                <w:b/>
                <w:lang w:val="en-US" w:eastAsia="ko-KR"/>
              </w:rPr>
            </w:pPr>
            <w:r w:rsidRPr="00B50753">
              <w:rPr>
                <w:b/>
                <w:highlight w:val="green"/>
                <w:lang w:val="en-US"/>
              </w:rPr>
              <w:t>ITS</w:t>
            </w:r>
          </w:p>
        </w:tc>
      </w:tr>
      <w:tr w:rsidR="00663DED" w:rsidRPr="00012E93" w:rsidTr="00711EE0">
        <w:tc>
          <w:tcPr>
            <w:tcW w:w="1838" w:type="dxa"/>
          </w:tcPr>
          <w:p w:rsidR="00663DED" w:rsidRPr="00012E93" w:rsidRDefault="00663DED" w:rsidP="00E70629">
            <w:pPr>
              <w:pStyle w:val="Tabletext"/>
              <w:rPr>
                <w:lang w:val="en-US"/>
              </w:rPr>
            </w:pPr>
            <w:r w:rsidRPr="00012E93">
              <w:rPr>
                <w:lang w:val="en-US"/>
              </w:rPr>
              <w:t>ASP/32A24/7</w:t>
            </w:r>
          </w:p>
        </w:tc>
        <w:tc>
          <w:tcPr>
            <w:tcW w:w="12332" w:type="dxa"/>
          </w:tcPr>
          <w:p w:rsidR="00663DED" w:rsidRPr="00012E93" w:rsidRDefault="00663DED" w:rsidP="00C91E8F">
            <w:pPr>
              <w:pStyle w:val="Tabletext"/>
              <w:rPr>
                <w:lang w:val="en-US" w:eastAsia="zh-CN"/>
              </w:rPr>
            </w:pPr>
            <w:r w:rsidRPr="00012E93">
              <w:rPr>
                <w:lang w:val="en-US" w:eastAsia="ko-KR"/>
              </w:rPr>
              <w:t>1.</w:t>
            </w:r>
            <w:r w:rsidRPr="00012E93">
              <w:rPr>
                <w:lang w:val="en-US" w:eastAsia="zh-CN"/>
              </w:rPr>
              <w:t>3</w:t>
            </w:r>
            <w:r w:rsidRPr="00012E93">
              <w:rPr>
                <w:lang w:val="en-US"/>
              </w:rPr>
              <w:tab/>
            </w:r>
            <w:r w:rsidRPr="00012E93">
              <w:rPr>
                <w:lang w:val="en-US" w:eastAsia="zh-CN"/>
              </w:rPr>
              <w:t xml:space="preserve">to consider spectrum-related matters and possible regulatory actions for </w:t>
            </w:r>
            <w:r w:rsidRPr="00012E93">
              <w:rPr>
                <w:lang w:val="en-US"/>
              </w:rPr>
              <w:t>Intelligent Transport Systems (</w:t>
            </w:r>
            <w:r w:rsidRPr="00012E93">
              <w:rPr>
                <w:lang w:val="en-US" w:eastAsia="zh-CN"/>
              </w:rPr>
              <w:t>ITS) applications, taking into account the results of ITU</w:t>
            </w:r>
            <w:r w:rsidRPr="00012E93">
              <w:rPr>
                <w:lang w:val="en-US" w:eastAsia="zh-CN"/>
              </w:rPr>
              <w:noBreakHyphen/>
              <w:t>R studies, in accordance with Resolution </w:t>
            </w:r>
            <w:r w:rsidRPr="00012E93">
              <w:rPr>
                <w:b/>
                <w:lang w:val="en-US" w:eastAsia="zh-CN"/>
              </w:rPr>
              <w:t>[ASP-D10-ITS] (WRC</w:t>
            </w:r>
            <w:r w:rsidRPr="00012E93">
              <w:rPr>
                <w:b/>
                <w:lang w:val="en-US" w:eastAsia="zh-CN"/>
              </w:rPr>
              <w:noBreakHyphen/>
              <w:t>15)</w:t>
            </w:r>
            <w:r w:rsidRPr="00012E93">
              <w:rPr>
                <w:b/>
                <w:lang w:val="en-US" w:eastAsia="ja-JP"/>
              </w:rPr>
              <w:t xml:space="preserve"> (Attachment 3)</w:t>
            </w:r>
            <w:r w:rsidRPr="00012E93">
              <w:rPr>
                <w:lang w:val="en-US" w:eastAsia="zh-CN"/>
              </w:rPr>
              <w:t>;</w:t>
            </w:r>
          </w:p>
        </w:tc>
      </w:tr>
      <w:tr w:rsidR="00663DED" w:rsidRPr="00012E93" w:rsidTr="00711EE0">
        <w:tc>
          <w:tcPr>
            <w:tcW w:w="14170" w:type="dxa"/>
            <w:gridSpan w:val="2"/>
          </w:tcPr>
          <w:p w:rsidR="00663DED" w:rsidRPr="007003F8" w:rsidRDefault="00A65B3B" w:rsidP="00C91E8F">
            <w:pPr>
              <w:pStyle w:val="Tabletext"/>
              <w:rPr>
                <w:b/>
                <w:lang w:val="en-US"/>
              </w:rPr>
            </w:pPr>
            <w:r w:rsidRPr="007003F8">
              <w:rPr>
                <w:rFonts w:asciiTheme="majorBidi" w:hAnsiTheme="majorBidi" w:cstheme="majorBidi"/>
                <w:b/>
                <w:bCs/>
              </w:rPr>
              <w:t xml:space="preserve"> unauthorized operation of earth station  / </w:t>
            </w:r>
            <w:r w:rsidRPr="007003F8">
              <w:rPr>
                <w:rFonts w:asciiTheme="majorBidi" w:hAnsiTheme="majorBidi" w:cstheme="majorBidi"/>
                <w:b/>
                <w:bCs/>
                <w:lang w:val="en-US"/>
              </w:rPr>
              <w:t>ITU-R Resolution 64</w:t>
            </w:r>
          </w:p>
        </w:tc>
      </w:tr>
      <w:tr w:rsidR="00A65B3B" w:rsidRPr="00012E93" w:rsidTr="00711EE0">
        <w:tc>
          <w:tcPr>
            <w:tcW w:w="1838" w:type="dxa"/>
            <w:vMerge w:val="restart"/>
          </w:tcPr>
          <w:p w:rsidR="00A65B3B" w:rsidRDefault="00A65B3B" w:rsidP="00A65B3B">
            <w:pPr>
              <w:pStyle w:val="Tabletext"/>
              <w:rPr>
                <w:rFonts w:asciiTheme="majorBidi" w:hAnsiTheme="majorBidi" w:cstheme="majorBidi"/>
                <w:lang w:val="en-US"/>
              </w:rPr>
            </w:pPr>
            <w:r>
              <w:rPr>
                <w:rFonts w:asciiTheme="majorBidi" w:hAnsiTheme="majorBidi" w:cstheme="majorBidi"/>
                <w:lang w:val="en-US"/>
              </w:rPr>
              <w:t>ARB/144/1</w:t>
            </w:r>
          </w:p>
        </w:tc>
        <w:tc>
          <w:tcPr>
            <w:tcW w:w="12332" w:type="dxa"/>
          </w:tcPr>
          <w:p w:rsidR="00A65B3B" w:rsidRPr="002D6A55" w:rsidRDefault="00A65B3B" w:rsidP="00C91E8F">
            <w:pPr>
              <w:pStyle w:val="Tabletext"/>
              <w:rPr>
                <w:rFonts w:asciiTheme="majorBidi" w:hAnsiTheme="majorBidi" w:cstheme="majorBidi"/>
              </w:rPr>
            </w:pPr>
            <w:r w:rsidRPr="00F46BE4">
              <w:rPr>
                <w:rFonts w:asciiTheme="majorBidi" w:hAnsiTheme="majorBidi" w:cstheme="majorBidi"/>
              </w:rPr>
              <w:t>1</w:t>
            </w:r>
            <w:r w:rsidRPr="00F46BE4">
              <w:rPr>
                <w:rFonts w:asciiTheme="majorBidi" w:hAnsiTheme="majorBidi" w:cstheme="majorBidi"/>
              </w:rPr>
              <w:tab/>
              <w:t>to conduct studies to examine whether there is a need for possible additional measures in order to limit uplink transmissions of terminals to those authorized terminals in accordance with No. 18.1;</w:t>
            </w:r>
          </w:p>
        </w:tc>
      </w:tr>
      <w:tr w:rsidR="00A65B3B" w:rsidRPr="00012E93" w:rsidTr="00711EE0">
        <w:tc>
          <w:tcPr>
            <w:tcW w:w="1838" w:type="dxa"/>
            <w:vMerge/>
          </w:tcPr>
          <w:p w:rsidR="00A65B3B" w:rsidRDefault="00A65B3B" w:rsidP="00C91E8F">
            <w:pPr>
              <w:pStyle w:val="Tabletext"/>
              <w:rPr>
                <w:rFonts w:asciiTheme="majorBidi" w:hAnsiTheme="majorBidi" w:cstheme="majorBidi"/>
                <w:lang w:val="en-US"/>
              </w:rPr>
            </w:pPr>
          </w:p>
        </w:tc>
        <w:tc>
          <w:tcPr>
            <w:tcW w:w="12332" w:type="dxa"/>
          </w:tcPr>
          <w:p w:rsidR="00A65B3B" w:rsidRPr="00F46BE4" w:rsidRDefault="00A65B3B" w:rsidP="00C91E8F">
            <w:pPr>
              <w:pStyle w:val="Tabletext"/>
              <w:rPr>
                <w:rFonts w:asciiTheme="majorBidi" w:hAnsiTheme="majorBidi" w:cstheme="majorBidi"/>
              </w:rPr>
            </w:pPr>
            <w:r w:rsidRPr="00F46BE4">
              <w:rPr>
                <w:rFonts w:asciiTheme="majorBidi" w:hAnsiTheme="majorBidi" w:cstheme="majorBidi"/>
              </w:rPr>
              <w:t>2</w:t>
            </w:r>
            <w:r w:rsidRPr="00F46BE4">
              <w:rPr>
                <w:rFonts w:asciiTheme="majorBidi" w:hAnsiTheme="majorBidi" w:cstheme="majorBidi"/>
              </w:rPr>
              <w:tab/>
              <w:t>to study the possible methods that will assist administrations in managing the unauthorized operation of earth station terminals deployed within its territory, as a tool to guide their national spectrum management programme.</w:t>
            </w:r>
          </w:p>
        </w:tc>
      </w:tr>
      <w:tr w:rsidR="007003F8" w:rsidRPr="00012E93" w:rsidTr="00711EE0">
        <w:tc>
          <w:tcPr>
            <w:tcW w:w="14170" w:type="dxa"/>
            <w:gridSpan w:val="2"/>
          </w:tcPr>
          <w:p w:rsidR="007003F8" w:rsidRPr="00B50753" w:rsidRDefault="007003F8" w:rsidP="00B50753">
            <w:pPr>
              <w:pStyle w:val="Tabletext"/>
              <w:rPr>
                <w:b/>
                <w:highlight w:val="green"/>
                <w:lang w:val="en-US"/>
              </w:rPr>
            </w:pPr>
            <w:r w:rsidRPr="00B50753">
              <w:rPr>
                <w:b/>
                <w:highlight w:val="green"/>
                <w:lang w:val="en-US"/>
              </w:rPr>
              <w:t>New allocation to mobile and fixed services / 275-1000 GHz</w:t>
            </w:r>
          </w:p>
        </w:tc>
      </w:tr>
      <w:tr w:rsidR="007003F8" w:rsidRPr="00012E93" w:rsidTr="00711EE0">
        <w:tc>
          <w:tcPr>
            <w:tcW w:w="1838" w:type="dxa"/>
          </w:tcPr>
          <w:p w:rsidR="007003F8" w:rsidRPr="00012E93" w:rsidRDefault="007003F8" w:rsidP="00E70629">
            <w:pPr>
              <w:pStyle w:val="Tabletext"/>
              <w:rPr>
                <w:lang w:val="en-US"/>
              </w:rPr>
            </w:pPr>
            <w:r w:rsidRPr="00012E93">
              <w:rPr>
                <w:lang w:val="en-US"/>
              </w:rPr>
              <w:t>ASP/32A24/6</w:t>
            </w:r>
          </w:p>
        </w:tc>
        <w:tc>
          <w:tcPr>
            <w:tcW w:w="12332" w:type="dxa"/>
          </w:tcPr>
          <w:p w:rsidR="007003F8" w:rsidRPr="00012E93" w:rsidRDefault="007003F8" w:rsidP="00C91E8F">
            <w:pPr>
              <w:pStyle w:val="Tabletext"/>
              <w:rPr>
                <w:lang w:val="en-US" w:eastAsia="zh-CN"/>
              </w:rPr>
            </w:pPr>
            <w:r w:rsidRPr="00012E93">
              <w:rPr>
                <w:lang w:val="en-US" w:eastAsia="ko-KR"/>
              </w:rPr>
              <w:t>1.</w:t>
            </w:r>
            <w:r w:rsidRPr="00012E93">
              <w:rPr>
                <w:lang w:val="en-US" w:eastAsia="zh-CN"/>
              </w:rPr>
              <w:t>2</w:t>
            </w:r>
            <w:r w:rsidRPr="00012E93">
              <w:rPr>
                <w:lang w:val="en-US"/>
              </w:rPr>
              <w:tab/>
            </w:r>
            <w:r w:rsidRPr="00012E93">
              <w:rPr>
                <w:lang w:val="en-US" w:eastAsia="zh-CN"/>
              </w:rPr>
              <w:t xml:space="preserve">to consider the appropriate regulatory measures to </w:t>
            </w:r>
            <w:r w:rsidRPr="00012E93">
              <w:rPr>
                <w:lang w:val="en-US" w:eastAsia="ja-JP"/>
              </w:rPr>
              <w:t>identify</w:t>
            </w:r>
            <w:r w:rsidRPr="00012E93">
              <w:rPr>
                <w:lang w:val="en-US" w:eastAsia="zh-CN"/>
              </w:rPr>
              <w:t xml:space="preserve"> the land mobile and fixed services operating in the frequency range 275-1 000 GHz in accordance with Resolution </w:t>
            </w:r>
            <w:r w:rsidRPr="00012E93">
              <w:rPr>
                <w:b/>
                <w:lang w:val="en-US" w:eastAsia="zh-CN"/>
              </w:rPr>
              <w:t>[</w:t>
            </w:r>
            <w:r w:rsidRPr="00012E93">
              <w:rPr>
                <w:b/>
                <w:lang w:val="en-US"/>
              </w:rPr>
              <w:t>ASP-C10-</w:t>
            </w:r>
            <w:r w:rsidRPr="00012E93">
              <w:rPr>
                <w:b/>
                <w:lang w:val="en-US" w:eastAsia="zh-CN"/>
              </w:rPr>
              <w:t>MS&amp;FS ABOVE 275GHz] (WRC</w:t>
            </w:r>
            <w:r w:rsidRPr="00012E93">
              <w:rPr>
                <w:b/>
                <w:lang w:val="en-US" w:eastAsia="zh-CN"/>
              </w:rPr>
              <w:noBreakHyphen/>
              <w:t>15)</w:t>
            </w:r>
            <w:r w:rsidRPr="00012E93">
              <w:rPr>
                <w:b/>
                <w:lang w:val="en-US" w:eastAsia="ja-JP"/>
              </w:rPr>
              <w:t xml:space="preserve"> (Attachment 2)</w:t>
            </w:r>
            <w:r w:rsidRPr="00012E93">
              <w:rPr>
                <w:lang w:val="en-US" w:eastAsia="zh-CN"/>
              </w:rPr>
              <w:t>;</w:t>
            </w:r>
          </w:p>
        </w:tc>
      </w:tr>
      <w:tr w:rsidR="007003F8" w:rsidRPr="00012E93" w:rsidTr="00711EE0">
        <w:tc>
          <w:tcPr>
            <w:tcW w:w="1838" w:type="dxa"/>
          </w:tcPr>
          <w:p w:rsidR="007003F8" w:rsidRPr="00012E93" w:rsidRDefault="007003F8" w:rsidP="00C91E8F">
            <w:pPr>
              <w:pStyle w:val="Tabletext"/>
              <w:rPr>
                <w:lang w:val="ru-RU"/>
              </w:rPr>
            </w:pPr>
            <w:r w:rsidRPr="00012E93">
              <w:rPr>
                <w:lang w:val="ru-RU"/>
              </w:rPr>
              <w:t>EUR/9A25/2</w:t>
            </w:r>
          </w:p>
        </w:tc>
        <w:tc>
          <w:tcPr>
            <w:tcW w:w="12332" w:type="dxa"/>
          </w:tcPr>
          <w:p w:rsidR="007003F8" w:rsidRPr="00012E93" w:rsidRDefault="007003F8" w:rsidP="00C91E8F">
            <w:pPr>
              <w:pStyle w:val="Tabletext"/>
              <w:rPr>
                <w:lang w:val="en-US"/>
              </w:rPr>
            </w:pPr>
            <w:r w:rsidRPr="00012E93">
              <w:rPr>
                <w:lang w:val="en-US"/>
              </w:rPr>
              <w:t>1.3</w:t>
            </w:r>
            <w:r w:rsidRPr="00012E93">
              <w:rPr>
                <w:lang w:val="en-US"/>
              </w:rPr>
              <w:tab/>
              <w:t xml:space="preserve">to consider identification by footnote for the land mobile and fixed services in the range 275-450 GHz, while maintaining the protection to passive services, subject to No. </w:t>
            </w:r>
            <w:r w:rsidRPr="00012E93">
              <w:rPr>
                <w:b/>
                <w:lang w:val="en-US"/>
              </w:rPr>
              <w:t>5.565</w:t>
            </w:r>
            <w:r w:rsidRPr="00012E93">
              <w:rPr>
                <w:lang w:val="en-US"/>
              </w:rPr>
              <w:t xml:space="preserve">, in accordance with Resolution </w:t>
            </w:r>
            <w:r w:rsidRPr="00012E93">
              <w:rPr>
                <w:b/>
                <w:lang w:val="en-US"/>
              </w:rPr>
              <w:t>[EUR-A25-3] (WRC-15)</w:t>
            </w:r>
            <w:r w:rsidRPr="00012E93">
              <w:rPr>
                <w:lang w:val="en-US"/>
              </w:rPr>
              <w:t>;</w:t>
            </w:r>
          </w:p>
        </w:tc>
      </w:tr>
      <w:tr w:rsidR="007003F8" w:rsidRPr="00012E93" w:rsidTr="00711EE0">
        <w:tc>
          <w:tcPr>
            <w:tcW w:w="14170" w:type="dxa"/>
            <w:gridSpan w:val="2"/>
          </w:tcPr>
          <w:p w:rsidR="007003F8" w:rsidRPr="00693324" w:rsidRDefault="007003F8" w:rsidP="00693324">
            <w:pPr>
              <w:pStyle w:val="Tabletext"/>
              <w:rPr>
                <w:b/>
                <w:bCs/>
                <w:lang w:val="en-US"/>
              </w:rPr>
            </w:pPr>
            <w:r w:rsidRPr="00693324">
              <w:rPr>
                <w:b/>
                <w:bCs/>
                <w:lang w:val="en-US"/>
              </w:rPr>
              <w:t>Upgrading of the secondary allocation to the Meteorological-SS and EESS in the band 460-470 MHz</w:t>
            </w:r>
          </w:p>
        </w:tc>
      </w:tr>
      <w:tr w:rsidR="007003F8" w:rsidRPr="00012E93" w:rsidTr="00711EE0">
        <w:tc>
          <w:tcPr>
            <w:tcW w:w="1838" w:type="dxa"/>
          </w:tcPr>
          <w:p w:rsidR="007003F8" w:rsidRPr="00E70629" w:rsidRDefault="007003F8" w:rsidP="00E70629">
            <w:pPr>
              <w:pStyle w:val="Tabletext"/>
              <w:rPr>
                <w:lang w:val="ru-RU"/>
              </w:rPr>
            </w:pPr>
            <w:r w:rsidRPr="00012E93">
              <w:rPr>
                <w:lang w:val="en-US"/>
              </w:rPr>
              <w:t>IAP/7A24A1/</w:t>
            </w:r>
            <w:r w:rsidRPr="00012E93">
              <w:rPr>
                <w:lang w:val="ru-RU"/>
              </w:rPr>
              <w:t>1</w:t>
            </w:r>
          </w:p>
        </w:tc>
        <w:tc>
          <w:tcPr>
            <w:tcW w:w="12332" w:type="dxa"/>
          </w:tcPr>
          <w:p w:rsidR="007003F8" w:rsidRPr="00012E93" w:rsidRDefault="007003F8" w:rsidP="00C91E8F">
            <w:pPr>
              <w:pStyle w:val="Tabletext"/>
              <w:rPr>
                <w:i/>
                <w:lang w:val="en-US"/>
              </w:rPr>
            </w:pPr>
            <w:r w:rsidRPr="00012E93">
              <w:rPr>
                <w:lang w:val="en-US"/>
              </w:rPr>
              <w:t>X.X</w:t>
            </w:r>
            <w:r w:rsidRPr="00012E93">
              <w:rPr>
                <w:b/>
                <w:lang w:val="en-US"/>
              </w:rPr>
              <w:tab/>
            </w:r>
            <w:r w:rsidRPr="00012E93">
              <w:rPr>
                <w:lang w:val="en-US"/>
              </w:rPr>
              <w:t>to review the allocations to the meteorological-satellite service in the 460-470 MHz band with a view to upgrade the secondary meteorological-</w:t>
            </w:r>
            <w:r w:rsidRPr="00012E93">
              <w:rPr>
                <w:lang w:val="en-US"/>
              </w:rPr>
              <w:lastRenderedPageBreak/>
              <w:t xml:space="preserve">satellite service allocation to primary status while protecting the existing primary services in the band, and without imposing any additional constraints on these primary services in accordance with Resolution </w:t>
            </w:r>
            <w:r w:rsidRPr="00012E93">
              <w:rPr>
                <w:b/>
                <w:lang w:val="en-US"/>
              </w:rPr>
              <w:t>[IAP-10A-460-470]</w:t>
            </w:r>
            <w:r w:rsidRPr="00012E93">
              <w:rPr>
                <w:lang w:val="en-US"/>
              </w:rPr>
              <w:t xml:space="preserve"> </w:t>
            </w:r>
            <w:r w:rsidRPr="00012E93">
              <w:rPr>
                <w:b/>
                <w:lang w:val="en-US"/>
              </w:rPr>
              <w:t>(WRC</w:t>
            </w:r>
            <w:r w:rsidRPr="00012E93">
              <w:rPr>
                <w:b/>
                <w:lang w:val="en-US"/>
              </w:rPr>
              <w:noBreakHyphen/>
              <w:t>15)</w:t>
            </w:r>
            <w:r w:rsidRPr="00012E93">
              <w:rPr>
                <w:lang w:val="en-US"/>
              </w:rPr>
              <w:t>;</w:t>
            </w:r>
          </w:p>
        </w:tc>
      </w:tr>
      <w:tr w:rsidR="007003F8" w:rsidRPr="00012E93" w:rsidTr="00711EE0">
        <w:tc>
          <w:tcPr>
            <w:tcW w:w="1838" w:type="dxa"/>
          </w:tcPr>
          <w:p w:rsidR="007003F8" w:rsidRPr="00012E93" w:rsidRDefault="007003F8" w:rsidP="00C91E8F">
            <w:pPr>
              <w:pStyle w:val="Tabletext"/>
              <w:rPr>
                <w:lang w:val="en-US"/>
              </w:rPr>
            </w:pPr>
            <w:r w:rsidRPr="00012E93">
              <w:rPr>
                <w:lang w:val="ru-RU"/>
              </w:rPr>
              <w:lastRenderedPageBreak/>
              <w:t>EUR/9A25/2</w:t>
            </w:r>
          </w:p>
        </w:tc>
        <w:tc>
          <w:tcPr>
            <w:tcW w:w="12332" w:type="dxa"/>
          </w:tcPr>
          <w:p w:rsidR="007003F8" w:rsidRPr="00012E93" w:rsidRDefault="007003F8" w:rsidP="00C91E8F">
            <w:pPr>
              <w:pStyle w:val="Tabletext"/>
              <w:rPr>
                <w:b/>
                <w:lang w:val="en-US"/>
              </w:rPr>
            </w:pPr>
            <w:r w:rsidRPr="00012E93">
              <w:rPr>
                <w:lang w:val="en-US"/>
              </w:rPr>
              <w:t>1.7</w:t>
            </w:r>
            <w:r w:rsidRPr="00012E93">
              <w:rPr>
                <w:lang w:val="en-US"/>
              </w:rPr>
              <w:tab/>
              <w:t xml:space="preserve">to consider an upgrade of the secondary allocation to the Meteorological-satellite service (space-to-Earth) in the band 460-470 MHz and to the Earth exploration-satellite service (space-to-Earth), as contained in No. </w:t>
            </w:r>
            <w:r w:rsidRPr="00012E93">
              <w:rPr>
                <w:b/>
                <w:lang w:val="en-US"/>
              </w:rPr>
              <w:t>5.289</w:t>
            </w:r>
            <w:r w:rsidRPr="00012E93">
              <w:rPr>
                <w:lang w:val="en-US"/>
              </w:rPr>
              <w:t xml:space="preserve">, to a primary status, while putting relevant constraints on this service in order to protect the existing primary  services in the band, in accordance with Resolution </w:t>
            </w:r>
            <w:r w:rsidRPr="00012E93">
              <w:rPr>
                <w:b/>
                <w:lang w:val="en-US"/>
              </w:rPr>
              <w:t>[EUR-A25-7] (WRC-15)</w:t>
            </w:r>
            <w:r w:rsidRPr="00012E93">
              <w:rPr>
                <w:lang w:val="en-US"/>
              </w:rPr>
              <w:t>;</w:t>
            </w:r>
          </w:p>
        </w:tc>
      </w:tr>
      <w:tr w:rsidR="007003F8" w:rsidRPr="00012E93" w:rsidTr="00711EE0">
        <w:tc>
          <w:tcPr>
            <w:tcW w:w="14170" w:type="dxa"/>
            <w:gridSpan w:val="2"/>
          </w:tcPr>
          <w:p w:rsidR="007003F8" w:rsidRPr="0047579F" w:rsidRDefault="007003F8" w:rsidP="00C91E8F">
            <w:pPr>
              <w:pStyle w:val="Tabletext"/>
              <w:rPr>
                <w:b/>
                <w:lang w:val="en-US"/>
              </w:rPr>
            </w:pPr>
            <w:r w:rsidRPr="0047579F">
              <w:rPr>
                <w:b/>
                <w:lang w:val="en-US"/>
              </w:rPr>
              <w:t>Maritime radio devices</w:t>
            </w:r>
          </w:p>
        </w:tc>
      </w:tr>
      <w:tr w:rsidR="007003F8" w:rsidRPr="00012E93" w:rsidTr="00711EE0">
        <w:tc>
          <w:tcPr>
            <w:tcW w:w="1838" w:type="dxa"/>
          </w:tcPr>
          <w:p w:rsidR="007003F8" w:rsidRPr="00012E93" w:rsidRDefault="007003F8" w:rsidP="00C91E8F">
            <w:pPr>
              <w:pStyle w:val="Tabletext"/>
              <w:rPr>
                <w:lang w:val="en-US"/>
              </w:rPr>
            </w:pPr>
            <w:r w:rsidRPr="00012E93">
              <w:rPr>
                <w:lang w:val="ru-RU"/>
              </w:rPr>
              <w:t>EUR/9A25/2</w:t>
            </w:r>
          </w:p>
        </w:tc>
        <w:tc>
          <w:tcPr>
            <w:tcW w:w="12332" w:type="dxa"/>
          </w:tcPr>
          <w:p w:rsidR="007003F8" w:rsidRPr="00012E93" w:rsidRDefault="007003F8" w:rsidP="00C91E8F">
            <w:pPr>
              <w:pStyle w:val="Tabletext"/>
              <w:rPr>
                <w:lang w:val="en-US"/>
              </w:rPr>
            </w:pPr>
            <w:r w:rsidRPr="00012E93">
              <w:rPr>
                <w:lang w:val="en-US"/>
              </w:rPr>
              <w:t>1.12</w:t>
            </w:r>
            <w:r w:rsidRPr="00012E93">
              <w:rPr>
                <w:lang w:val="en-US"/>
              </w:rPr>
              <w:tab/>
              <w:t xml:space="preserve">to consider regulatory provisions, including spectrum allocations, regarding maritime radio devices operating without regulatory connection to vessels or coast stations to ensure safety of navigation and to protect the integrity of the GMDSS in accordance with Resolution </w:t>
            </w:r>
            <w:r w:rsidRPr="00012E93">
              <w:rPr>
                <w:b/>
                <w:lang w:val="en-US"/>
              </w:rPr>
              <w:t>[EUR-A25-12]</w:t>
            </w:r>
            <w:r w:rsidRPr="00012E93" w:rsidDel="00D23B92">
              <w:rPr>
                <w:b/>
                <w:lang w:val="en-US"/>
              </w:rPr>
              <w:t xml:space="preserve"> </w:t>
            </w:r>
            <w:r w:rsidRPr="00012E93">
              <w:rPr>
                <w:b/>
                <w:lang w:val="en-US"/>
              </w:rPr>
              <w:t>(WRC-15)</w:t>
            </w:r>
            <w:r w:rsidRPr="00012E93">
              <w:rPr>
                <w:lang w:val="en-US"/>
              </w:rPr>
              <w:t>;</w:t>
            </w:r>
          </w:p>
        </w:tc>
      </w:tr>
      <w:tr w:rsidR="007003F8" w:rsidRPr="00012E93" w:rsidTr="00711EE0">
        <w:tc>
          <w:tcPr>
            <w:tcW w:w="14170" w:type="dxa"/>
            <w:gridSpan w:val="2"/>
          </w:tcPr>
          <w:p w:rsidR="007003F8" w:rsidRPr="0047579F" w:rsidRDefault="007003F8" w:rsidP="00C91E8F">
            <w:pPr>
              <w:pStyle w:val="Tabletext"/>
              <w:rPr>
                <w:b/>
                <w:lang w:val="en-US"/>
              </w:rPr>
            </w:pPr>
            <w:proofErr w:type="spellStart"/>
            <w:r w:rsidRPr="0047579F">
              <w:rPr>
                <w:b/>
                <w:lang w:val="en-US"/>
              </w:rPr>
              <w:t>Nanosatellite</w:t>
            </w:r>
            <w:proofErr w:type="spellEnd"/>
            <w:r w:rsidRPr="0047579F">
              <w:rPr>
                <w:b/>
                <w:lang w:val="en-US"/>
              </w:rPr>
              <w:t xml:space="preserve"> and </w:t>
            </w:r>
            <w:proofErr w:type="spellStart"/>
            <w:r w:rsidRPr="0047579F">
              <w:rPr>
                <w:b/>
                <w:lang w:val="en-US"/>
              </w:rPr>
              <w:t>picosatellite</w:t>
            </w:r>
            <w:proofErr w:type="spellEnd"/>
          </w:p>
        </w:tc>
      </w:tr>
      <w:tr w:rsidR="007003F8" w:rsidRPr="00012E93" w:rsidTr="005F187A">
        <w:tc>
          <w:tcPr>
            <w:tcW w:w="1838" w:type="dxa"/>
          </w:tcPr>
          <w:p w:rsidR="007003F8" w:rsidRPr="00012E93" w:rsidRDefault="007003F8" w:rsidP="00C91E8F">
            <w:pPr>
              <w:pStyle w:val="Tabletext"/>
              <w:rPr>
                <w:lang w:val="en-US"/>
              </w:rPr>
            </w:pPr>
            <w:r w:rsidRPr="00012E93">
              <w:rPr>
                <w:lang w:val="ru-RU"/>
              </w:rPr>
              <w:t>ARB/25A22/2</w:t>
            </w:r>
          </w:p>
        </w:tc>
        <w:tc>
          <w:tcPr>
            <w:tcW w:w="12332" w:type="dxa"/>
          </w:tcPr>
          <w:p w:rsidR="007003F8" w:rsidRPr="00012E93" w:rsidRDefault="007003F8" w:rsidP="00C91E8F">
            <w:pPr>
              <w:pStyle w:val="Tabletext"/>
              <w:rPr>
                <w:lang w:val="en-US"/>
              </w:rPr>
            </w:pPr>
            <w:r w:rsidRPr="00012E93">
              <w:rPr>
                <w:lang w:val="en-US"/>
              </w:rPr>
              <w:t>1.3</w:t>
            </w:r>
            <w:r w:rsidRPr="00012E93">
              <w:rPr>
                <w:lang w:val="en-US"/>
              </w:rPr>
              <w:tab/>
              <w:t xml:space="preserve">to consider modifications to the regulatory procedures for notifying satellite networks to accommodate </w:t>
            </w:r>
            <w:proofErr w:type="spellStart"/>
            <w:r w:rsidRPr="00012E93">
              <w:rPr>
                <w:lang w:val="en-US"/>
              </w:rPr>
              <w:t>nanosatellite</w:t>
            </w:r>
            <w:proofErr w:type="spellEnd"/>
            <w:r w:rsidRPr="00012E93">
              <w:rPr>
                <w:lang w:val="en-US"/>
              </w:rPr>
              <w:t xml:space="preserve"> and </w:t>
            </w:r>
            <w:proofErr w:type="spellStart"/>
            <w:r w:rsidRPr="00012E93">
              <w:rPr>
                <w:lang w:val="en-US"/>
              </w:rPr>
              <w:t>picosatellite</w:t>
            </w:r>
            <w:proofErr w:type="spellEnd"/>
            <w:r w:rsidRPr="00012E93">
              <w:rPr>
                <w:lang w:val="en-US"/>
              </w:rPr>
              <w:t xml:space="preserve"> missions in accordance with Resolution </w:t>
            </w:r>
            <w:r w:rsidRPr="00012E93">
              <w:rPr>
                <w:b/>
                <w:lang w:val="en-US"/>
              </w:rPr>
              <w:t>757 (WRC</w:t>
            </w:r>
            <w:r w:rsidRPr="00012E93">
              <w:rPr>
                <w:b/>
                <w:lang w:val="en-US"/>
              </w:rPr>
              <w:noBreakHyphen/>
              <w:t>12)</w:t>
            </w:r>
            <w:r w:rsidRPr="00012E93">
              <w:rPr>
                <w:lang w:val="en-US"/>
              </w:rPr>
              <w:t xml:space="preserve">, taking into account the frequency bands used by other space services such that changes to the RR do not lead to the potential for harmful interference to other services, and that the accommodation of </w:t>
            </w:r>
            <w:proofErr w:type="spellStart"/>
            <w:r w:rsidRPr="00012E93">
              <w:rPr>
                <w:lang w:val="en-US"/>
              </w:rPr>
              <w:t>nanosatellite</w:t>
            </w:r>
            <w:proofErr w:type="spellEnd"/>
            <w:r w:rsidRPr="00012E93">
              <w:rPr>
                <w:lang w:val="en-US"/>
              </w:rPr>
              <w:t xml:space="preserve"> and </w:t>
            </w:r>
            <w:proofErr w:type="spellStart"/>
            <w:r w:rsidRPr="00012E93">
              <w:rPr>
                <w:lang w:val="en-US"/>
              </w:rPr>
              <w:t>picosatellite</w:t>
            </w:r>
            <w:proofErr w:type="spellEnd"/>
            <w:r w:rsidRPr="00012E93">
              <w:rPr>
                <w:lang w:val="en-US"/>
              </w:rPr>
              <w:t xml:space="preserve"> systems should not inadvertently affect the regulatory procedures for other satellite systems;</w:t>
            </w:r>
          </w:p>
        </w:tc>
      </w:tr>
      <w:tr w:rsidR="007003F8" w:rsidRPr="00012E93" w:rsidTr="00711EE0">
        <w:tc>
          <w:tcPr>
            <w:tcW w:w="14170" w:type="dxa"/>
            <w:gridSpan w:val="2"/>
          </w:tcPr>
          <w:p w:rsidR="007003F8" w:rsidRPr="00693324" w:rsidRDefault="007003F8" w:rsidP="00693324">
            <w:pPr>
              <w:pStyle w:val="Tabletext"/>
              <w:rPr>
                <w:b/>
                <w:bCs/>
                <w:lang w:val="en-US"/>
              </w:rPr>
            </w:pPr>
            <w:r>
              <w:rPr>
                <w:b/>
                <w:bCs/>
                <w:lang w:val="en-US"/>
              </w:rPr>
              <w:t xml:space="preserve">New </w:t>
            </w:r>
            <w:r w:rsidRPr="00693324">
              <w:rPr>
                <w:b/>
                <w:bCs/>
                <w:lang w:val="en-US"/>
              </w:rPr>
              <w:t>allocations to the space operation service</w:t>
            </w:r>
            <w:r>
              <w:rPr>
                <w:b/>
                <w:bCs/>
                <w:lang w:val="en-US"/>
              </w:rPr>
              <w:t xml:space="preserve"> </w:t>
            </w:r>
            <w:r w:rsidRPr="00693324">
              <w:rPr>
                <w:b/>
                <w:bCs/>
                <w:lang w:val="en-US"/>
              </w:rPr>
              <w:t>in the range 137-174 MHz and 230-470 MHz</w:t>
            </w:r>
          </w:p>
        </w:tc>
      </w:tr>
      <w:tr w:rsidR="007003F8" w:rsidRPr="00012E93" w:rsidTr="00711EE0">
        <w:tc>
          <w:tcPr>
            <w:tcW w:w="1838" w:type="dxa"/>
          </w:tcPr>
          <w:p w:rsidR="007003F8" w:rsidRPr="00012E93" w:rsidRDefault="007003F8" w:rsidP="00C91E8F">
            <w:pPr>
              <w:pStyle w:val="Tabletext"/>
              <w:rPr>
                <w:lang w:val="en-US"/>
              </w:rPr>
            </w:pPr>
            <w:r w:rsidRPr="00012E93">
              <w:rPr>
                <w:lang w:val="ru-RU"/>
              </w:rPr>
              <w:t>EUR/9A25/2</w:t>
            </w:r>
          </w:p>
        </w:tc>
        <w:tc>
          <w:tcPr>
            <w:tcW w:w="12332" w:type="dxa"/>
          </w:tcPr>
          <w:p w:rsidR="007003F8" w:rsidRPr="00012E93" w:rsidRDefault="007003F8" w:rsidP="00C91E8F">
            <w:pPr>
              <w:pStyle w:val="Tabletext"/>
              <w:rPr>
                <w:lang w:val="en-US"/>
              </w:rPr>
            </w:pPr>
            <w:r w:rsidRPr="00012E93">
              <w:rPr>
                <w:lang w:val="en-US"/>
              </w:rPr>
              <w:t>1.8</w:t>
            </w:r>
            <w:r w:rsidRPr="00012E93">
              <w:rPr>
                <w:lang w:val="en-US"/>
              </w:rPr>
              <w:tab/>
              <w:t xml:space="preserve">to consider allocations to the space operation service in the range 137-174 MHz and 230-470 MHz to accommodate the growing number of small non-GSO satellites, in accordance with Resolution </w:t>
            </w:r>
            <w:r w:rsidRPr="00012E93">
              <w:rPr>
                <w:b/>
                <w:lang w:val="en-US"/>
              </w:rPr>
              <w:t>[EUR-A25-8] (WRC-15)</w:t>
            </w:r>
            <w:r w:rsidRPr="00012E93">
              <w:rPr>
                <w:lang w:val="en-US"/>
              </w:rPr>
              <w:t>;</w:t>
            </w:r>
          </w:p>
        </w:tc>
      </w:tr>
      <w:tr w:rsidR="007003F8" w:rsidRPr="00012E93" w:rsidTr="00711EE0">
        <w:tc>
          <w:tcPr>
            <w:tcW w:w="14170" w:type="dxa"/>
            <w:gridSpan w:val="2"/>
          </w:tcPr>
          <w:p w:rsidR="007003F8" w:rsidRPr="0047579F" w:rsidRDefault="007003F8" w:rsidP="00C91E8F">
            <w:pPr>
              <w:pStyle w:val="Tabletext"/>
              <w:rPr>
                <w:b/>
                <w:lang w:val="en-US"/>
              </w:rPr>
            </w:pPr>
            <w:r w:rsidRPr="0047579F">
              <w:rPr>
                <w:b/>
                <w:lang w:val="en-US"/>
              </w:rPr>
              <w:t>Res 359 &amp; 757</w:t>
            </w:r>
          </w:p>
        </w:tc>
      </w:tr>
      <w:tr w:rsidR="007003F8" w:rsidRPr="00012E93" w:rsidTr="00711EE0">
        <w:tc>
          <w:tcPr>
            <w:tcW w:w="1838" w:type="dxa"/>
          </w:tcPr>
          <w:p w:rsidR="007003F8" w:rsidRPr="00012E93" w:rsidRDefault="007003F8" w:rsidP="00C91E8F">
            <w:pPr>
              <w:pStyle w:val="Tabletext"/>
              <w:rPr>
                <w:lang w:val="en-US"/>
              </w:rPr>
            </w:pPr>
            <w:r w:rsidRPr="00012E93">
              <w:rPr>
                <w:lang w:val="en-US"/>
              </w:rPr>
              <w:t>CPM/6/AI10</w:t>
            </w:r>
          </w:p>
        </w:tc>
        <w:tc>
          <w:tcPr>
            <w:tcW w:w="12332" w:type="dxa"/>
          </w:tcPr>
          <w:p w:rsidR="007003F8" w:rsidRPr="00012E93" w:rsidRDefault="007003F8" w:rsidP="00C91E8F">
            <w:pPr>
              <w:pStyle w:val="Tabletext"/>
            </w:pPr>
            <w:r w:rsidRPr="00012E93">
              <w:t>6/10/1</w:t>
            </w:r>
            <w:r w:rsidRPr="00012E93">
              <w:tab/>
              <w:t>WRC-18</w:t>
            </w:r>
            <w:r w:rsidRPr="00012E93">
              <w:t> preliminary agenda item 2.1 – Resolution 359 (WRC 12)</w:t>
            </w:r>
          </w:p>
          <w:p w:rsidR="007003F8" w:rsidRPr="00012E93" w:rsidRDefault="007003F8" w:rsidP="00C91E8F">
            <w:pPr>
              <w:pStyle w:val="Tabletext"/>
            </w:pPr>
            <w:r w:rsidRPr="00012E93">
              <w:t>No CPM text has been developed on this part of the CPM Report.</w:t>
            </w:r>
          </w:p>
          <w:p w:rsidR="007003F8" w:rsidRPr="00012E93" w:rsidRDefault="007003F8" w:rsidP="00C91E8F">
            <w:pPr>
              <w:pStyle w:val="Tabletext"/>
            </w:pPr>
          </w:p>
        </w:tc>
      </w:tr>
      <w:tr w:rsidR="007003F8" w:rsidRPr="00012E93" w:rsidTr="00711EE0">
        <w:tc>
          <w:tcPr>
            <w:tcW w:w="1838" w:type="dxa"/>
          </w:tcPr>
          <w:p w:rsidR="007003F8" w:rsidRPr="00012E93" w:rsidRDefault="007003F8" w:rsidP="00C91E8F">
            <w:pPr>
              <w:pStyle w:val="Tabletext"/>
              <w:rPr>
                <w:lang w:val="en-US"/>
              </w:rPr>
            </w:pPr>
            <w:r w:rsidRPr="00012E93">
              <w:rPr>
                <w:lang w:val="en-US"/>
              </w:rPr>
              <w:t>CPM/6/AI10</w:t>
            </w:r>
          </w:p>
        </w:tc>
        <w:tc>
          <w:tcPr>
            <w:tcW w:w="12332" w:type="dxa"/>
          </w:tcPr>
          <w:p w:rsidR="007003F8" w:rsidRPr="00012E93" w:rsidRDefault="007003F8" w:rsidP="00C91E8F">
            <w:pPr>
              <w:pStyle w:val="Tabletext"/>
            </w:pPr>
            <w:r w:rsidRPr="00012E93">
              <w:t>6/10/2</w:t>
            </w:r>
            <w:r w:rsidRPr="00012E93">
              <w:tab/>
              <w:t>WRC-18* preliminary agenda item 2.2 – Resolution 757 (WRC 12)</w:t>
            </w:r>
          </w:p>
          <w:p w:rsidR="007003F8" w:rsidRPr="00012E93" w:rsidRDefault="007003F8" w:rsidP="00C91E8F">
            <w:pPr>
              <w:pStyle w:val="Tabletext"/>
            </w:pPr>
            <w:r w:rsidRPr="00012E93">
              <w:t>See Section 5/9.1.8 in Chapter 5 of this CPM Report to WRC-15.</w:t>
            </w:r>
          </w:p>
        </w:tc>
      </w:tr>
      <w:tr w:rsidR="007003F8" w:rsidRPr="00012E93" w:rsidTr="00711EE0">
        <w:tc>
          <w:tcPr>
            <w:tcW w:w="14170" w:type="dxa"/>
            <w:gridSpan w:val="2"/>
          </w:tcPr>
          <w:p w:rsidR="007003F8" w:rsidRPr="0047579F" w:rsidRDefault="007003F8" w:rsidP="00C91E8F">
            <w:pPr>
              <w:pStyle w:val="Tabletext"/>
              <w:rPr>
                <w:b/>
                <w:lang w:val="ru-RU"/>
              </w:rPr>
            </w:pPr>
            <w:r w:rsidRPr="0047579F">
              <w:rPr>
                <w:b/>
                <w:lang w:val="en-US"/>
              </w:rPr>
              <w:t>S</w:t>
            </w:r>
            <w:r w:rsidRPr="0047579F">
              <w:rPr>
                <w:b/>
                <w:lang w:val="ru-RU"/>
              </w:rPr>
              <w:t>pace weather sensors</w:t>
            </w:r>
          </w:p>
        </w:tc>
      </w:tr>
      <w:tr w:rsidR="007003F8" w:rsidRPr="00012E93" w:rsidTr="00711EE0">
        <w:tc>
          <w:tcPr>
            <w:tcW w:w="1838" w:type="dxa"/>
          </w:tcPr>
          <w:p w:rsidR="007003F8" w:rsidRPr="00012E93" w:rsidRDefault="007003F8" w:rsidP="00C91E8F">
            <w:pPr>
              <w:pStyle w:val="Tabletext"/>
              <w:rPr>
                <w:lang w:val="ru-RU"/>
              </w:rPr>
            </w:pPr>
            <w:r w:rsidRPr="00012E93">
              <w:rPr>
                <w:lang w:val="ru-RU"/>
              </w:rPr>
              <w:t>IAP/7A24A10/1</w:t>
            </w:r>
          </w:p>
          <w:p w:rsidR="007003F8" w:rsidRPr="00012E93" w:rsidRDefault="007003F8" w:rsidP="005F187A">
            <w:pPr>
              <w:pStyle w:val="Tabletext"/>
              <w:rPr>
                <w:lang w:val="en-US"/>
              </w:rPr>
            </w:pPr>
            <w:r w:rsidRPr="005F187A">
              <w:rPr>
                <w:lang w:val="en-US"/>
              </w:rPr>
              <w:t>WRC-23</w:t>
            </w:r>
          </w:p>
        </w:tc>
        <w:tc>
          <w:tcPr>
            <w:tcW w:w="12332" w:type="dxa"/>
          </w:tcPr>
          <w:p w:rsidR="007003F8" w:rsidRPr="00012E93" w:rsidRDefault="007003F8" w:rsidP="00C91E8F">
            <w:pPr>
              <w:pStyle w:val="Tabletext"/>
              <w:rPr>
                <w:i/>
                <w:lang w:val="en-US"/>
              </w:rPr>
            </w:pPr>
            <w:r w:rsidRPr="00012E93">
              <w:rPr>
                <w:lang w:val="en-US"/>
              </w:rPr>
              <w:t>2.[SW]</w:t>
            </w:r>
            <w:r w:rsidRPr="00012E93">
              <w:rPr>
                <w:b/>
                <w:lang w:val="en-US"/>
              </w:rPr>
              <w:tab/>
            </w:r>
            <w:r w:rsidRPr="00012E93">
              <w:rPr>
                <w:lang w:val="en-US"/>
              </w:rPr>
              <w:t>in</w:t>
            </w:r>
            <w:r w:rsidRPr="00012E93">
              <w:rPr>
                <w:spacing w:val="54"/>
                <w:lang w:val="en-US"/>
              </w:rPr>
              <w:t xml:space="preserve"> </w:t>
            </w:r>
            <w:r w:rsidRPr="00012E93">
              <w:rPr>
                <w:spacing w:val="-1"/>
                <w:lang w:val="en-US"/>
              </w:rPr>
              <w:t>accordance</w:t>
            </w:r>
            <w:r w:rsidRPr="00012E93">
              <w:rPr>
                <w:spacing w:val="54"/>
                <w:lang w:val="en-US"/>
              </w:rPr>
              <w:t xml:space="preserve"> </w:t>
            </w:r>
            <w:r w:rsidRPr="00012E93">
              <w:rPr>
                <w:lang w:val="en-US"/>
              </w:rPr>
              <w:t>with</w:t>
            </w:r>
            <w:r w:rsidRPr="00012E93">
              <w:rPr>
                <w:spacing w:val="54"/>
                <w:lang w:val="en-US"/>
              </w:rPr>
              <w:t xml:space="preserve"> </w:t>
            </w:r>
            <w:r w:rsidRPr="00012E93">
              <w:rPr>
                <w:lang w:val="en-US"/>
              </w:rPr>
              <w:t>Resolution</w:t>
            </w:r>
            <w:r w:rsidRPr="00012E93">
              <w:rPr>
                <w:spacing w:val="54"/>
                <w:lang w:val="en-US"/>
              </w:rPr>
              <w:t xml:space="preserve"> </w:t>
            </w:r>
            <w:r w:rsidRPr="00012E93">
              <w:rPr>
                <w:b/>
                <w:spacing w:val="54"/>
                <w:lang w:val="en-US"/>
              </w:rPr>
              <w:t>[</w:t>
            </w:r>
            <w:r w:rsidRPr="00012E93">
              <w:rPr>
                <w:b/>
                <w:spacing w:val="-1"/>
                <w:lang w:val="en-US"/>
              </w:rPr>
              <w:t>IAP-10J-SW] (WRC-15)</w:t>
            </w:r>
            <w:r w:rsidRPr="00012E93">
              <w:rPr>
                <w:spacing w:val="-1"/>
                <w:lang w:val="en-US"/>
              </w:rPr>
              <w:t>,</w:t>
            </w:r>
            <w:r w:rsidRPr="00012E93">
              <w:rPr>
                <w:spacing w:val="54"/>
                <w:lang w:val="en-US"/>
              </w:rPr>
              <w:t xml:space="preserve"> </w:t>
            </w:r>
            <w:r w:rsidRPr="00012E93">
              <w:rPr>
                <w:lang w:val="en-US"/>
              </w:rPr>
              <w:t>to</w:t>
            </w:r>
            <w:r w:rsidRPr="00012E93">
              <w:rPr>
                <w:spacing w:val="54"/>
                <w:lang w:val="en-US"/>
              </w:rPr>
              <w:t xml:space="preserve"> </w:t>
            </w:r>
            <w:r w:rsidRPr="00012E93">
              <w:rPr>
                <w:lang w:val="en-US"/>
              </w:rPr>
              <w:t>review</w:t>
            </w:r>
            <w:r w:rsidRPr="00012E93">
              <w:rPr>
                <w:spacing w:val="52"/>
                <w:lang w:val="en-US"/>
              </w:rPr>
              <w:t xml:space="preserve"> </w:t>
            </w:r>
            <w:r w:rsidRPr="00012E93">
              <w:rPr>
                <w:lang w:val="en-US"/>
              </w:rPr>
              <w:t>the</w:t>
            </w:r>
            <w:r w:rsidRPr="00012E93">
              <w:rPr>
                <w:spacing w:val="53"/>
                <w:lang w:val="en-US"/>
              </w:rPr>
              <w:t xml:space="preserve"> </w:t>
            </w:r>
            <w:r w:rsidRPr="00012E93">
              <w:rPr>
                <w:lang w:val="en-US"/>
              </w:rPr>
              <w:t>results</w:t>
            </w:r>
            <w:r w:rsidRPr="00012E93">
              <w:rPr>
                <w:spacing w:val="53"/>
                <w:lang w:val="en-US"/>
              </w:rPr>
              <w:t xml:space="preserve"> </w:t>
            </w:r>
            <w:r w:rsidRPr="00012E93">
              <w:rPr>
                <w:lang w:val="en-US"/>
              </w:rPr>
              <w:t>of</w:t>
            </w:r>
            <w:r w:rsidRPr="00012E93">
              <w:rPr>
                <w:spacing w:val="53"/>
                <w:lang w:val="en-US"/>
              </w:rPr>
              <w:t xml:space="preserve"> </w:t>
            </w:r>
            <w:r w:rsidRPr="00012E93">
              <w:rPr>
                <w:lang w:val="en-US"/>
              </w:rPr>
              <w:t>studies</w:t>
            </w:r>
            <w:r w:rsidRPr="00012E93">
              <w:rPr>
                <w:spacing w:val="53"/>
                <w:lang w:val="en-US"/>
              </w:rPr>
              <w:t xml:space="preserve"> </w:t>
            </w:r>
            <w:r w:rsidRPr="00012E93">
              <w:rPr>
                <w:lang w:val="en-US"/>
              </w:rPr>
              <w:t>relating</w:t>
            </w:r>
            <w:r w:rsidRPr="00012E93">
              <w:rPr>
                <w:spacing w:val="53"/>
                <w:lang w:val="en-US"/>
              </w:rPr>
              <w:t xml:space="preserve"> </w:t>
            </w:r>
            <w:r w:rsidRPr="00012E93">
              <w:rPr>
                <w:lang w:val="en-US"/>
              </w:rPr>
              <w:t>to</w:t>
            </w:r>
            <w:r w:rsidRPr="00012E93">
              <w:rPr>
                <w:spacing w:val="53"/>
                <w:lang w:val="en-US"/>
              </w:rPr>
              <w:t xml:space="preserve"> </w:t>
            </w:r>
            <w:r w:rsidRPr="00012E93">
              <w:rPr>
                <w:lang w:val="en-US"/>
              </w:rPr>
              <w:t>the</w:t>
            </w:r>
            <w:r w:rsidRPr="00012E93">
              <w:rPr>
                <w:spacing w:val="21"/>
                <w:lang w:val="en-US"/>
              </w:rPr>
              <w:t xml:space="preserve"> </w:t>
            </w:r>
            <w:r w:rsidRPr="00012E93">
              <w:rPr>
                <w:lang w:val="en-US"/>
              </w:rPr>
              <w:t>technical</w:t>
            </w:r>
            <w:r w:rsidRPr="00012E93">
              <w:rPr>
                <w:spacing w:val="38"/>
                <w:lang w:val="en-US"/>
              </w:rPr>
              <w:t xml:space="preserve"> </w:t>
            </w:r>
            <w:r w:rsidRPr="00012E93">
              <w:rPr>
                <w:spacing w:val="-1"/>
                <w:lang w:val="en-US"/>
              </w:rPr>
              <w:t>and</w:t>
            </w:r>
            <w:r w:rsidRPr="00012E93">
              <w:rPr>
                <w:spacing w:val="38"/>
                <w:lang w:val="en-US"/>
              </w:rPr>
              <w:t xml:space="preserve"> </w:t>
            </w:r>
            <w:r w:rsidRPr="00012E93">
              <w:rPr>
                <w:spacing w:val="-1"/>
                <w:lang w:val="en-US"/>
              </w:rPr>
              <w:t>operational</w:t>
            </w:r>
            <w:r w:rsidRPr="00012E93">
              <w:rPr>
                <w:spacing w:val="38"/>
                <w:lang w:val="en-US"/>
              </w:rPr>
              <w:t xml:space="preserve"> </w:t>
            </w:r>
            <w:r w:rsidRPr="00012E93">
              <w:rPr>
                <w:spacing w:val="-1"/>
                <w:lang w:val="en-US"/>
              </w:rPr>
              <w:t>characteristics,</w:t>
            </w:r>
            <w:r w:rsidRPr="00012E93">
              <w:rPr>
                <w:spacing w:val="38"/>
                <w:lang w:val="en-US"/>
              </w:rPr>
              <w:t xml:space="preserve"> </w:t>
            </w:r>
            <w:r w:rsidRPr="00012E93">
              <w:rPr>
                <w:spacing w:val="-1"/>
                <w:lang w:val="en-US"/>
              </w:rPr>
              <w:t>spectrum</w:t>
            </w:r>
            <w:r w:rsidRPr="00012E93">
              <w:rPr>
                <w:spacing w:val="36"/>
                <w:lang w:val="en-US"/>
              </w:rPr>
              <w:t xml:space="preserve"> </w:t>
            </w:r>
            <w:r w:rsidRPr="00012E93">
              <w:rPr>
                <w:spacing w:val="-1"/>
                <w:lang w:val="en-US"/>
              </w:rPr>
              <w:t>requirements</w:t>
            </w:r>
            <w:r w:rsidRPr="00012E93">
              <w:rPr>
                <w:spacing w:val="38"/>
                <w:lang w:val="en-US"/>
              </w:rPr>
              <w:t xml:space="preserve"> </w:t>
            </w:r>
            <w:r w:rsidRPr="00012E93">
              <w:rPr>
                <w:lang w:val="en-US"/>
              </w:rPr>
              <w:t>and</w:t>
            </w:r>
            <w:r w:rsidRPr="00012E93">
              <w:rPr>
                <w:spacing w:val="38"/>
                <w:lang w:val="en-US"/>
              </w:rPr>
              <w:t xml:space="preserve"> </w:t>
            </w:r>
            <w:r w:rsidRPr="00012E93">
              <w:rPr>
                <w:lang w:val="en-US"/>
              </w:rPr>
              <w:t>appropriate</w:t>
            </w:r>
            <w:r w:rsidRPr="00012E93">
              <w:rPr>
                <w:spacing w:val="38"/>
                <w:lang w:val="en-US"/>
              </w:rPr>
              <w:t xml:space="preserve"> </w:t>
            </w:r>
            <w:r w:rsidRPr="00012E93">
              <w:rPr>
                <w:lang w:val="en-US"/>
              </w:rPr>
              <w:t>radio</w:t>
            </w:r>
            <w:r w:rsidRPr="00012E93">
              <w:rPr>
                <w:spacing w:val="38"/>
                <w:lang w:val="en-US"/>
              </w:rPr>
              <w:t xml:space="preserve"> </w:t>
            </w:r>
            <w:r w:rsidRPr="00012E93">
              <w:rPr>
                <w:lang w:val="en-US"/>
              </w:rPr>
              <w:t>service</w:t>
            </w:r>
            <w:r w:rsidRPr="00012E93">
              <w:rPr>
                <w:spacing w:val="79"/>
                <w:lang w:val="en-US"/>
              </w:rPr>
              <w:t xml:space="preserve"> </w:t>
            </w:r>
            <w:r w:rsidRPr="00012E93">
              <w:rPr>
                <w:spacing w:val="-1"/>
                <w:lang w:val="en-US"/>
              </w:rPr>
              <w:t>designations</w:t>
            </w:r>
            <w:r w:rsidRPr="00012E93">
              <w:rPr>
                <w:spacing w:val="41"/>
                <w:lang w:val="en-US"/>
              </w:rPr>
              <w:t xml:space="preserve"> </w:t>
            </w:r>
            <w:r w:rsidRPr="00012E93">
              <w:rPr>
                <w:lang w:val="en-US"/>
              </w:rPr>
              <w:t>for</w:t>
            </w:r>
            <w:r w:rsidRPr="00012E93">
              <w:rPr>
                <w:spacing w:val="42"/>
                <w:lang w:val="en-US"/>
              </w:rPr>
              <w:t xml:space="preserve"> </w:t>
            </w:r>
            <w:r w:rsidRPr="00012E93">
              <w:rPr>
                <w:lang w:val="en-US"/>
              </w:rPr>
              <w:t>space</w:t>
            </w:r>
            <w:r w:rsidRPr="00012E93">
              <w:rPr>
                <w:spacing w:val="42"/>
                <w:lang w:val="en-US"/>
              </w:rPr>
              <w:t xml:space="preserve"> </w:t>
            </w:r>
            <w:r w:rsidRPr="00012E93">
              <w:rPr>
                <w:lang w:val="en-US"/>
              </w:rPr>
              <w:t>weather</w:t>
            </w:r>
            <w:r w:rsidRPr="00012E93">
              <w:rPr>
                <w:spacing w:val="42"/>
                <w:lang w:val="en-US"/>
              </w:rPr>
              <w:t xml:space="preserve"> </w:t>
            </w:r>
            <w:r w:rsidRPr="00012E93">
              <w:rPr>
                <w:spacing w:val="-1"/>
                <w:lang w:val="en-US"/>
              </w:rPr>
              <w:t>sensors</w:t>
            </w:r>
            <w:r w:rsidRPr="00012E93">
              <w:rPr>
                <w:spacing w:val="42"/>
                <w:lang w:val="en-US"/>
              </w:rPr>
              <w:t xml:space="preserve"> </w:t>
            </w:r>
            <w:r w:rsidRPr="00012E93">
              <w:rPr>
                <w:lang w:val="en-US"/>
              </w:rPr>
              <w:t>with</w:t>
            </w:r>
            <w:r w:rsidRPr="00012E93">
              <w:rPr>
                <w:spacing w:val="42"/>
                <w:lang w:val="en-US"/>
              </w:rPr>
              <w:t xml:space="preserve"> </w:t>
            </w:r>
            <w:r w:rsidRPr="00012E93">
              <w:rPr>
                <w:lang w:val="en-US"/>
              </w:rPr>
              <w:t>a</w:t>
            </w:r>
            <w:r w:rsidRPr="00012E93">
              <w:rPr>
                <w:spacing w:val="42"/>
                <w:lang w:val="en-US"/>
              </w:rPr>
              <w:t xml:space="preserve"> </w:t>
            </w:r>
            <w:r w:rsidRPr="00012E93">
              <w:rPr>
                <w:lang w:val="en-US"/>
              </w:rPr>
              <w:t>view</w:t>
            </w:r>
            <w:r w:rsidRPr="00012E93">
              <w:rPr>
                <w:spacing w:val="42"/>
                <w:lang w:val="en-US"/>
              </w:rPr>
              <w:t xml:space="preserve"> </w:t>
            </w:r>
            <w:r w:rsidRPr="00012E93">
              <w:rPr>
                <w:lang w:val="en-US"/>
              </w:rPr>
              <w:t>to</w:t>
            </w:r>
            <w:r w:rsidRPr="00012E93">
              <w:rPr>
                <w:spacing w:val="42"/>
                <w:lang w:val="en-US"/>
              </w:rPr>
              <w:t xml:space="preserve"> </w:t>
            </w:r>
            <w:r w:rsidRPr="00012E93">
              <w:rPr>
                <w:lang w:val="en-US"/>
              </w:rPr>
              <w:t>providing</w:t>
            </w:r>
            <w:r w:rsidRPr="00012E93">
              <w:rPr>
                <w:spacing w:val="42"/>
                <w:lang w:val="en-US"/>
              </w:rPr>
              <w:t xml:space="preserve"> </w:t>
            </w:r>
            <w:r w:rsidRPr="00012E93">
              <w:rPr>
                <w:spacing w:val="-1"/>
                <w:lang w:val="en-US"/>
              </w:rPr>
              <w:t>appropriate</w:t>
            </w:r>
            <w:r w:rsidRPr="00012E93">
              <w:rPr>
                <w:spacing w:val="42"/>
                <w:lang w:val="en-US"/>
              </w:rPr>
              <w:t xml:space="preserve"> </w:t>
            </w:r>
            <w:r w:rsidRPr="00012E93">
              <w:rPr>
                <w:spacing w:val="-1"/>
                <w:lang w:val="en-US"/>
              </w:rPr>
              <w:t>recognition</w:t>
            </w:r>
            <w:r w:rsidRPr="00012E93">
              <w:rPr>
                <w:spacing w:val="42"/>
                <w:lang w:val="en-US"/>
              </w:rPr>
              <w:t xml:space="preserve"> </w:t>
            </w:r>
            <w:r w:rsidRPr="00012E93">
              <w:rPr>
                <w:spacing w:val="-1"/>
                <w:lang w:val="en-US"/>
              </w:rPr>
              <w:t>and</w:t>
            </w:r>
            <w:r w:rsidRPr="00012E93">
              <w:rPr>
                <w:spacing w:val="73"/>
                <w:lang w:val="en-US"/>
              </w:rPr>
              <w:t xml:space="preserve"> </w:t>
            </w:r>
            <w:r w:rsidRPr="00012E93">
              <w:rPr>
                <w:lang w:val="en-US"/>
              </w:rPr>
              <w:t>protection</w:t>
            </w:r>
            <w:r w:rsidRPr="00012E93">
              <w:rPr>
                <w:spacing w:val="-1"/>
                <w:lang w:val="en-US"/>
              </w:rPr>
              <w:t xml:space="preserve"> </w:t>
            </w:r>
            <w:r w:rsidRPr="00012E93">
              <w:rPr>
                <w:lang w:val="en-US"/>
              </w:rPr>
              <w:t>in</w:t>
            </w:r>
            <w:r w:rsidRPr="00012E93">
              <w:rPr>
                <w:spacing w:val="-1"/>
                <w:lang w:val="en-US"/>
              </w:rPr>
              <w:t xml:space="preserve"> </w:t>
            </w:r>
            <w:r w:rsidRPr="00012E93">
              <w:rPr>
                <w:lang w:val="en-US"/>
              </w:rPr>
              <w:t>the</w:t>
            </w:r>
            <w:r w:rsidRPr="00012E93">
              <w:rPr>
                <w:spacing w:val="-1"/>
                <w:lang w:val="en-US"/>
              </w:rPr>
              <w:t xml:space="preserve"> </w:t>
            </w:r>
            <w:r w:rsidRPr="00012E93">
              <w:rPr>
                <w:lang w:val="en-US"/>
              </w:rPr>
              <w:t>Radio</w:t>
            </w:r>
            <w:r w:rsidRPr="00012E93">
              <w:rPr>
                <w:spacing w:val="-1"/>
                <w:lang w:val="en-US"/>
              </w:rPr>
              <w:t xml:space="preserve"> Regulations without </w:t>
            </w:r>
            <w:r w:rsidRPr="00012E93">
              <w:rPr>
                <w:lang w:val="en-US"/>
              </w:rPr>
              <w:t>placing</w:t>
            </w:r>
            <w:r w:rsidRPr="00012E93">
              <w:rPr>
                <w:spacing w:val="-1"/>
                <w:lang w:val="en-US"/>
              </w:rPr>
              <w:t xml:space="preserve"> </w:t>
            </w:r>
            <w:r w:rsidRPr="00012E93">
              <w:rPr>
                <w:lang w:val="en-US"/>
              </w:rPr>
              <w:t>additional</w:t>
            </w:r>
            <w:r w:rsidRPr="00012E93">
              <w:rPr>
                <w:spacing w:val="-1"/>
                <w:lang w:val="en-US"/>
              </w:rPr>
              <w:t xml:space="preserve"> constraints</w:t>
            </w:r>
            <w:r w:rsidRPr="00012E93">
              <w:rPr>
                <w:lang w:val="en-US"/>
              </w:rPr>
              <w:t xml:space="preserve"> on </w:t>
            </w:r>
            <w:r w:rsidRPr="00012E93">
              <w:rPr>
                <w:spacing w:val="-1"/>
                <w:lang w:val="en-US"/>
              </w:rPr>
              <w:t>incumbent</w:t>
            </w:r>
            <w:r w:rsidRPr="00012E93">
              <w:rPr>
                <w:lang w:val="en-US"/>
              </w:rPr>
              <w:t xml:space="preserve"> services;</w:t>
            </w:r>
          </w:p>
        </w:tc>
      </w:tr>
      <w:tr w:rsidR="007003F8" w:rsidRPr="00012E93" w:rsidTr="00711EE0">
        <w:tc>
          <w:tcPr>
            <w:tcW w:w="14170" w:type="dxa"/>
            <w:gridSpan w:val="2"/>
          </w:tcPr>
          <w:p w:rsidR="007003F8" w:rsidRPr="00693324" w:rsidRDefault="007003F8" w:rsidP="00C91E8F">
            <w:pPr>
              <w:pStyle w:val="Tabletext"/>
              <w:rPr>
                <w:b/>
                <w:highlight w:val="green"/>
                <w:lang w:val="en-US"/>
              </w:rPr>
            </w:pPr>
            <w:r w:rsidRPr="00693324">
              <w:rPr>
                <w:b/>
                <w:highlight w:val="green"/>
                <w:lang w:val="en-US"/>
              </w:rPr>
              <w:t xml:space="preserve">Next-generation </w:t>
            </w:r>
            <w:proofErr w:type="spellStart"/>
            <w:r w:rsidRPr="00693324">
              <w:rPr>
                <w:b/>
                <w:highlight w:val="green"/>
                <w:lang w:val="en-US"/>
              </w:rPr>
              <w:t>radiocommunication</w:t>
            </w:r>
            <w:proofErr w:type="spellEnd"/>
            <w:r w:rsidRPr="00693324">
              <w:rPr>
                <w:b/>
                <w:highlight w:val="green"/>
                <w:lang w:val="en-US"/>
              </w:rPr>
              <w:t xml:space="preserve"> systems between train and </w:t>
            </w:r>
            <w:proofErr w:type="spellStart"/>
            <w:r w:rsidRPr="00693324">
              <w:rPr>
                <w:b/>
                <w:highlight w:val="green"/>
                <w:lang w:val="en-US"/>
              </w:rPr>
              <w:t>tracksides</w:t>
            </w:r>
            <w:proofErr w:type="spellEnd"/>
          </w:p>
        </w:tc>
      </w:tr>
      <w:tr w:rsidR="007003F8" w:rsidRPr="00012E93" w:rsidTr="00711EE0">
        <w:tc>
          <w:tcPr>
            <w:tcW w:w="1838" w:type="dxa"/>
          </w:tcPr>
          <w:p w:rsidR="007003F8" w:rsidRPr="00012E93" w:rsidRDefault="007003F8" w:rsidP="00E70629">
            <w:pPr>
              <w:pStyle w:val="Tabletext"/>
              <w:rPr>
                <w:lang w:val="en-US"/>
              </w:rPr>
            </w:pPr>
            <w:r w:rsidRPr="00012E93">
              <w:rPr>
                <w:lang w:val="en-US"/>
              </w:rPr>
              <w:t>ASP/32A24/11</w:t>
            </w:r>
          </w:p>
        </w:tc>
        <w:tc>
          <w:tcPr>
            <w:tcW w:w="12332" w:type="dxa"/>
          </w:tcPr>
          <w:p w:rsidR="007003F8" w:rsidRPr="00012E93" w:rsidRDefault="007003F8" w:rsidP="00C91E8F">
            <w:pPr>
              <w:pStyle w:val="Tabletext"/>
              <w:rPr>
                <w:b/>
                <w:lang w:val="en-US"/>
              </w:rPr>
            </w:pPr>
            <w:r w:rsidRPr="00012E93">
              <w:rPr>
                <w:lang w:val="en-US" w:eastAsia="ko-KR"/>
              </w:rPr>
              <w:t>1.</w:t>
            </w:r>
            <w:r w:rsidRPr="00012E93">
              <w:rPr>
                <w:lang w:val="en-US" w:eastAsia="zh-CN"/>
              </w:rPr>
              <w:t>7</w:t>
            </w:r>
            <w:r w:rsidRPr="00012E93">
              <w:rPr>
                <w:lang w:val="en-US"/>
              </w:rPr>
              <w:tab/>
            </w:r>
            <w:r w:rsidRPr="00012E93">
              <w:rPr>
                <w:lang w:val="en-US" w:eastAsia="zh-CN"/>
              </w:rPr>
              <w:t xml:space="preserve">to consider spectrum-related matters and possible regulatory actions to support the next-generation </w:t>
            </w:r>
            <w:proofErr w:type="spellStart"/>
            <w:r w:rsidRPr="00012E93">
              <w:rPr>
                <w:lang w:val="en-US" w:eastAsia="zh-CN"/>
              </w:rPr>
              <w:t>radiocommunication</w:t>
            </w:r>
            <w:proofErr w:type="spellEnd"/>
            <w:r w:rsidRPr="00012E93">
              <w:rPr>
                <w:lang w:val="en-US" w:eastAsia="zh-CN"/>
              </w:rPr>
              <w:t xml:space="preserve"> systems between train and </w:t>
            </w:r>
            <w:proofErr w:type="spellStart"/>
            <w:r w:rsidRPr="00012E93">
              <w:rPr>
                <w:lang w:val="en-US" w:eastAsia="zh-CN"/>
              </w:rPr>
              <w:t>tracksides</w:t>
            </w:r>
            <w:proofErr w:type="spellEnd"/>
            <w:r w:rsidRPr="00012E93">
              <w:rPr>
                <w:lang w:val="en-US" w:eastAsia="zh-CN"/>
              </w:rPr>
              <w:t xml:space="preserve">, in accordance with Resolution </w:t>
            </w:r>
            <w:r w:rsidRPr="00012E93">
              <w:rPr>
                <w:b/>
                <w:lang w:val="en-US" w:eastAsia="zh-CN"/>
              </w:rPr>
              <w:t>[ASP-G10-TRAIN] (WRC</w:t>
            </w:r>
            <w:r w:rsidRPr="00012E93">
              <w:rPr>
                <w:b/>
                <w:lang w:val="en-US" w:eastAsia="zh-CN"/>
              </w:rPr>
              <w:noBreakHyphen/>
              <w:t>15)</w:t>
            </w:r>
            <w:r w:rsidRPr="00012E93">
              <w:rPr>
                <w:b/>
                <w:lang w:val="en-US" w:eastAsia="ja-JP"/>
              </w:rPr>
              <w:t xml:space="preserve"> (Attachment 7)</w:t>
            </w:r>
            <w:r w:rsidRPr="00012E93">
              <w:rPr>
                <w:lang w:val="en-US" w:eastAsia="zh-CN"/>
              </w:rPr>
              <w:t>;</w:t>
            </w:r>
          </w:p>
        </w:tc>
      </w:tr>
      <w:tr w:rsidR="007003F8" w:rsidRPr="00012E93" w:rsidTr="00711EE0">
        <w:tc>
          <w:tcPr>
            <w:tcW w:w="1838" w:type="dxa"/>
          </w:tcPr>
          <w:p w:rsidR="007003F8" w:rsidRPr="00012E93" w:rsidRDefault="007003F8" w:rsidP="00C91E8F">
            <w:pPr>
              <w:pStyle w:val="Tabletext"/>
              <w:rPr>
                <w:lang w:val="en-US"/>
              </w:rPr>
            </w:pPr>
            <w:r w:rsidRPr="00012E93">
              <w:t>CHN/62A24/1</w:t>
            </w:r>
          </w:p>
        </w:tc>
        <w:tc>
          <w:tcPr>
            <w:tcW w:w="12332" w:type="dxa"/>
          </w:tcPr>
          <w:p w:rsidR="007003F8" w:rsidRPr="00012E93" w:rsidRDefault="007003F8" w:rsidP="00C91E8F">
            <w:pPr>
              <w:pStyle w:val="Tabletext"/>
              <w:rPr>
                <w:lang w:val="en-US"/>
              </w:rPr>
            </w:pPr>
            <w:r w:rsidRPr="00012E93">
              <w:rPr>
                <w:lang w:val="en-US"/>
              </w:rPr>
              <w:t>1.1</w:t>
            </w:r>
            <w:r w:rsidRPr="00012E93">
              <w:rPr>
                <w:lang w:val="en-US"/>
              </w:rPr>
              <w:tab/>
              <w:t xml:space="preserve">to consider spectrum related matters and possible regulatory actions to support the next generation </w:t>
            </w:r>
            <w:proofErr w:type="spellStart"/>
            <w:r w:rsidRPr="00012E93">
              <w:rPr>
                <w:lang w:val="en-US"/>
              </w:rPr>
              <w:t>radiocommunication</w:t>
            </w:r>
            <w:proofErr w:type="spellEnd"/>
            <w:r w:rsidRPr="00012E93">
              <w:rPr>
                <w:lang w:val="en-US"/>
              </w:rPr>
              <w:t xml:space="preserve"> systems between train and </w:t>
            </w:r>
            <w:r w:rsidRPr="00012E93">
              <w:rPr>
                <w:lang w:val="en-US"/>
              </w:rPr>
              <w:lastRenderedPageBreak/>
              <w:t xml:space="preserve">trackside, in accordance with Resolution </w:t>
            </w:r>
            <w:r w:rsidRPr="00012E93">
              <w:rPr>
                <w:b/>
                <w:lang w:val="en-US"/>
              </w:rPr>
              <w:t>[CHN-B10-NEW A.I._RAILWAY] (WRC</w:t>
            </w:r>
            <w:r w:rsidRPr="00012E93">
              <w:rPr>
                <w:b/>
                <w:lang w:val="en-US"/>
              </w:rPr>
              <w:noBreakHyphen/>
              <w:t>15)</w:t>
            </w:r>
            <w:r w:rsidRPr="00012E93">
              <w:rPr>
                <w:lang w:val="en-US"/>
              </w:rPr>
              <w:t>;</w:t>
            </w:r>
          </w:p>
        </w:tc>
      </w:tr>
      <w:tr w:rsidR="007003F8" w:rsidRPr="00012E93" w:rsidTr="00711EE0">
        <w:tc>
          <w:tcPr>
            <w:tcW w:w="14170" w:type="dxa"/>
            <w:gridSpan w:val="2"/>
          </w:tcPr>
          <w:p w:rsidR="007003F8" w:rsidRPr="002A1975" w:rsidRDefault="007003F8" w:rsidP="00C91E8F">
            <w:pPr>
              <w:pStyle w:val="Tabletext"/>
              <w:rPr>
                <w:b/>
                <w:lang w:val="ru-RU"/>
              </w:rPr>
            </w:pPr>
            <w:r w:rsidRPr="002A1975">
              <w:rPr>
                <w:b/>
                <w:lang w:val="ru-RU"/>
              </w:rPr>
              <w:lastRenderedPageBreak/>
              <w:t>NGSO FSS satellite systems</w:t>
            </w:r>
          </w:p>
        </w:tc>
      </w:tr>
      <w:tr w:rsidR="007003F8" w:rsidRPr="00012E93" w:rsidTr="00711EE0">
        <w:tc>
          <w:tcPr>
            <w:tcW w:w="1838" w:type="dxa"/>
          </w:tcPr>
          <w:p w:rsidR="007003F8" w:rsidRPr="00E70629" w:rsidRDefault="007003F8" w:rsidP="00E70629">
            <w:pPr>
              <w:pStyle w:val="Tabletext"/>
              <w:rPr>
                <w:highlight w:val="yellow"/>
                <w:lang w:val="ru-RU"/>
              </w:rPr>
            </w:pPr>
            <w:r w:rsidRPr="00012E93">
              <w:rPr>
                <w:lang w:val="ru-RU"/>
              </w:rPr>
              <w:t>IAP/7A24A8/2</w:t>
            </w:r>
          </w:p>
        </w:tc>
        <w:tc>
          <w:tcPr>
            <w:tcW w:w="12332" w:type="dxa"/>
          </w:tcPr>
          <w:p w:rsidR="007003F8" w:rsidRPr="00012E93" w:rsidRDefault="007003F8" w:rsidP="00C91E8F">
            <w:pPr>
              <w:pStyle w:val="Tabletext"/>
              <w:rPr>
                <w:lang w:val="en-US"/>
              </w:rPr>
            </w:pPr>
            <w:r w:rsidRPr="00012E93">
              <w:rPr>
                <w:lang w:val="en-US"/>
              </w:rPr>
              <w:t>1.[</w:t>
            </w:r>
            <w:proofErr w:type="spellStart"/>
            <w:r w:rsidRPr="00012E93">
              <w:rPr>
                <w:lang w:val="en-US"/>
              </w:rPr>
              <w:t>Vband</w:t>
            </w:r>
            <w:proofErr w:type="spellEnd"/>
            <w:r w:rsidRPr="00012E93">
              <w:rPr>
                <w:lang w:val="en-US"/>
              </w:rPr>
              <w:t>]</w:t>
            </w:r>
            <w:r w:rsidRPr="00012E93">
              <w:rPr>
                <w:lang w:val="en-US"/>
              </w:rPr>
              <w:tab/>
              <w:t xml:space="preserve">to develop a regulatory framework that provides specific regulatory provisions for NGSO FSS satellite systems operating in the 37.5-42.5 GHz (space-to-Earth) and 42.5-43.5 GHz, 49.2-50.2 GHz and 50.4-51.4 GHz (Earth-to-space) frequency bands in accordance with Resolution </w:t>
            </w:r>
            <w:r w:rsidRPr="00012E93">
              <w:rPr>
                <w:b/>
                <w:lang w:val="en-US"/>
              </w:rPr>
              <w:t>[IAP-10H-V-BAND] (WRC</w:t>
            </w:r>
            <w:r w:rsidRPr="00012E93">
              <w:rPr>
                <w:b/>
                <w:lang w:val="en-US"/>
              </w:rPr>
              <w:noBreakHyphen/>
              <w:t>15)</w:t>
            </w:r>
            <w:r w:rsidRPr="00012E93">
              <w:rPr>
                <w:lang w:val="en-US"/>
              </w:rPr>
              <w:t>;</w:t>
            </w:r>
          </w:p>
        </w:tc>
      </w:tr>
      <w:tr w:rsidR="007003F8" w:rsidRPr="00012E93" w:rsidTr="00711EE0">
        <w:tc>
          <w:tcPr>
            <w:tcW w:w="14170" w:type="dxa"/>
            <w:gridSpan w:val="2"/>
          </w:tcPr>
          <w:p w:rsidR="007003F8" w:rsidRPr="0047579F" w:rsidRDefault="007003F8" w:rsidP="003B0B80">
            <w:pPr>
              <w:pStyle w:val="Tabletext"/>
              <w:rPr>
                <w:b/>
                <w:lang w:val="en-US"/>
              </w:rPr>
            </w:pPr>
            <w:r w:rsidRPr="0047579F">
              <w:rPr>
                <w:b/>
                <w:lang w:val="en-US"/>
              </w:rPr>
              <w:t>WAS including radio local area networks (RLAN)</w:t>
            </w:r>
          </w:p>
        </w:tc>
      </w:tr>
      <w:tr w:rsidR="007003F8" w:rsidRPr="00012E93" w:rsidTr="00711EE0">
        <w:tc>
          <w:tcPr>
            <w:tcW w:w="1838" w:type="dxa"/>
          </w:tcPr>
          <w:p w:rsidR="007003F8" w:rsidRPr="00E70629" w:rsidRDefault="007003F8" w:rsidP="00E70629">
            <w:pPr>
              <w:pStyle w:val="Tabletext"/>
              <w:rPr>
                <w:highlight w:val="yellow"/>
                <w:lang w:val="ru-RU"/>
              </w:rPr>
            </w:pPr>
            <w:r w:rsidRPr="00012E93">
              <w:rPr>
                <w:lang w:val="ru-RU"/>
              </w:rPr>
              <w:t>IAP/7A24A2/2</w:t>
            </w:r>
          </w:p>
        </w:tc>
        <w:tc>
          <w:tcPr>
            <w:tcW w:w="12332" w:type="dxa"/>
          </w:tcPr>
          <w:p w:rsidR="007003F8" w:rsidRPr="00012E93" w:rsidRDefault="007003F8" w:rsidP="00C91E8F">
            <w:pPr>
              <w:pStyle w:val="Tabletext"/>
              <w:rPr>
                <w:i/>
                <w:lang w:val="en-US"/>
              </w:rPr>
            </w:pPr>
            <w:r w:rsidRPr="00012E93">
              <w:rPr>
                <w:b/>
                <w:lang w:val="en-US"/>
              </w:rPr>
              <w:t>1.[5 GHz]</w:t>
            </w:r>
            <w:r w:rsidRPr="00012E93">
              <w:rPr>
                <w:b/>
                <w:lang w:val="en-US"/>
              </w:rPr>
              <w:tab/>
            </w:r>
            <w:r w:rsidRPr="00012E93">
              <w:rPr>
                <w:lang w:val="en-US"/>
              </w:rPr>
              <w:t xml:space="preserve">to consider additional spectrum allocations to the mobile service on a primary basis and related regulatory provisions for implementation of wireless access systems (WAS) including radio local area networks (RLAN) in the 5 350-5 470 MHz frequency range to facilitate the development of terrestrial mobile broadband applications in accordance with Resolution </w:t>
            </w:r>
            <w:r w:rsidRPr="00012E93">
              <w:rPr>
                <w:b/>
                <w:lang w:val="en-US"/>
              </w:rPr>
              <w:t>[IAP-10B-5GHz] (WRC</w:t>
            </w:r>
            <w:r w:rsidRPr="00012E93">
              <w:rPr>
                <w:b/>
                <w:lang w:val="en-US"/>
              </w:rPr>
              <w:noBreakHyphen/>
              <w:t>15)</w:t>
            </w:r>
            <w:r w:rsidRPr="00012E93">
              <w:rPr>
                <w:lang w:val="en-US"/>
              </w:rPr>
              <w:t>;</w:t>
            </w:r>
          </w:p>
        </w:tc>
      </w:tr>
      <w:tr w:rsidR="007003F8" w:rsidRPr="00012E93" w:rsidTr="00735196">
        <w:tc>
          <w:tcPr>
            <w:tcW w:w="1838" w:type="dxa"/>
          </w:tcPr>
          <w:p w:rsidR="007003F8" w:rsidRPr="00012E93" w:rsidRDefault="007003F8" w:rsidP="00735196">
            <w:pPr>
              <w:pStyle w:val="Tabletext"/>
              <w:rPr>
                <w:lang w:val="en-US"/>
              </w:rPr>
            </w:pPr>
            <w:r w:rsidRPr="00012E93">
              <w:rPr>
                <w:lang w:val="en-US"/>
              </w:rPr>
              <w:t>DNK/F/GRC/ HNG/IRL/ISL/ CZE/G/SVN/S/ TUR/</w:t>
            </w:r>
          </w:p>
          <w:p w:rsidR="007003F8" w:rsidRPr="00012E93" w:rsidRDefault="007003F8" w:rsidP="00735196">
            <w:pPr>
              <w:pStyle w:val="Tabletext"/>
              <w:rPr>
                <w:lang w:val="en-US"/>
              </w:rPr>
            </w:pPr>
            <w:r w:rsidRPr="00012E93">
              <w:rPr>
                <w:lang w:val="en-US"/>
              </w:rPr>
              <w:t>81/1</w:t>
            </w:r>
          </w:p>
        </w:tc>
        <w:tc>
          <w:tcPr>
            <w:tcW w:w="12332" w:type="dxa"/>
          </w:tcPr>
          <w:p w:rsidR="007003F8" w:rsidRPr="00012E93" w:rsidRDefault="007003F8" w:rsidP="00735196">
            <w:pPr>
              <w:pStyle w:val="Tabletext"/>
              <w:rPr>
                <w:lang w:val="en-US"/>
              </w:rPr>
            </w:pPr>
            <w:r w:rsidRPr="00012E93">
              <w:rPr>
                <w:lang w:val="en-US"/>
              </w:rPr>
              <w:t>1.[5 GHz]</w:t>
            </w:r>
            <w:r w:rsidRPr="00012E93">
              <w:rPr>
                <w:lang w:val="en-US"/>
              </w:rPr>
              <w:tab/>
              <w:t xml:space="preserve">to consider spectrum sharing technologies, additional in band sharing mechanisms and mitigation techniques that could be applied to Wireless Access Systems (WAS) including radio local area networks in the 5 GHz range, and take the appropriate actions in accordance with draft new Resolution </w:t>
            </w:r>
            <w:r w:rsidRPr="00012E93">
              <w:rPr>
                <w:b/>
                <w:lang w:val="en-US"/>
              </w:rPr>
              <w:t>[81-B24-5GHz] (WRC</w:t>
            </w:r>
            <w:r w:rsidRPr="00012E93">
              <w:rPr>
                <w:b/>
                <w:lang w:val="en-US"/>
              </w:rPr>
              <w:noBreakHyphen/>
              <w:t>15)</w:t>
            </w:r>
            <w:r w:rsidRPr="00012E93">
              <w:rPr>
                <w:lang w:val="en-US"/>
              </w:rPr>
              <w:t>;</w:t>
            </w:r>
          </w:p>
        </w:tc>
      </w:tr>
      <w:tr w:rsidR="007003F8" w:rsidRPr="00012E93" w:rsidTr="00B95C50">
        <w:tc>
          <w:tcPr>
            <w:tcW w:w="14170" w:type="dxa"/>
            <w:gridSpan w:val="2"/>
          </w:tcPr>
          <w:p w:rsidR="007003F8" w:rsidRPr="00693324" w:rsidRDefault="007003F8" w:rsidP="00C91E8F">
            <w:pPr>
              <w:pStyle w:val="Tabletext"/>
              <w:rPr>
                <w:b/>
                <w:bCs/>
                <w:lang w:val="en-US" w:eastAsia="ja-JP"/>
              </w:rPr>
            </w:pPr>
            <w:r w:rsidRPr="00693324">
              <w:rPr>
                <w:b/>
                <w:bCs/>
                <w:highlight w:val="green"/>
                <w:lang w:val="en-US" w:eastAsia="ja-JP"/>
              </w:rPr>
              <w:t>WPT</w:t>
            </w:r>
          </w:p>
        </w:tc>
      </w:tr>
      <w:tr w:rsidR="007003F8" w:rsidRPr="00012E93" w:rsidTr="00711EE0">
        <w:tc>
          <w:tcPr>
            <w:tcW w:w="1838" w:type="dxa"/>
          </w:tcPr>
          <w:p w:rsidR="007003F8" w:rsidRPr="00012E93" w:rsidRDefault="007003F8" w:rsidP="00E70629">
            <w:pPr>
              <w:pStyle w:val="Tabletext"/>
              <w:rPr>
                <w:lang w:val="en-US"/>
              </w:rPr>
            </w:pPr>
            <w:r w:rsidRPr="00012E93">
              <w:rPr>
                <w:lang w:val="en-US"/>
              </w:rPr>
              <w:t>ASP/32A24/12</w:t>
            </w:r>
          </w:p>
        </w:tc>
        <w:tc>
          <w:tcPr>
            <w:tcW w:w="12332" w:type="dxa"/>
          </w:tcPr>
          <w:p w:rsidR="007003F8" w:rsidRPr="00012E93" w:rsidRDefault="007003F8" w:rsidP="00C91E8F">
            <w:pPr>
              <w:pStyle w:val="Tabletext"/>
              <w:rPr>
                <w:lang w:val="en-US" w:eastAsia="ja-JP"/>
              </w:rPr>
            </w:pPr>
            <w:r w:rsidRPr="00012E93">
              <w:rPr>
                <w:lang w:val="en-US" w:eastAsia="ja-JP"/>
              </w:rPr>
              <w:t>1.8</w:t>
            </w:r>
            <w:r w:rsidRPr="00012E93">
              <w:rPr>
                <w:lang w:val="en-US"/>
              </w:rPr>
              <w:tab/>
            </w:r>
            <w:r w:rsidRPr="00012E93">
              <w:rPr>
                <w:lang w:val="en-US" w:eastAsia="ja-JP"/>
              </w:rPr>
              <w:t xml:space="preserve">to consider spectrum-related matters and regulatory actions to support </w:t>
            </w:r>
            <w:r w:rsidRPr="00012E93">
              <w:rPr>
                <w:lang w:val="en-US" w:eastAsia="ko-KR"/>
              </w:rPr>
              <w:t xml:space="preserve">wireless power transmission </w:t>
            </w:r>
            <w:r w:rsidRPr="00012E93">
              <w:rPr>
                <w:kern w:val="2"/>
                <w:lang w:val="en-US" w:eastAsia="ja-JP"/>
              </w:rPr>
              <w:t>(WPT)</w:t>
            </w:r>
            <w:r w:rsidRPr="00012E93">
              <w:rPr>
                <w:kern w:val="2"/>
                <w:vertAlign w:val="superscript"/>
                <w:lang w:val="en-US" w:eastAsia="ja-JP"/>
              </w:rPr>
              <w:t>1</w:t>
            </w:r>
            <w:r w:rsidRPr="00012E93">
              <w:rPr>
                <w:kern w:val="2"/>
                <w:lang w:val="en-US" w:eastAsia="ja-JP"/>
              </w:rPr>
              <w:t xml:space="preserve"> </w:t>
            </w:r>
            <w:r w:rsidRPr="00012E93">
              <w:rPr>
                <w:lang w:val="en-US" w:eastAsia="ja-JP"/>
              </w:rPr>
              <w:t>taking into account the results of ITU</w:t>
            </w:r>
            <w:r w:rsidRPr="00012E93">
              <w:rPr>
                <w:lang w:val="en-US" w:eastAsia="ja-JP"/>
              </w:rPr>
              <w:noBreakHyphen/>
              <w:t xml:space="preserve">R studies in accordance with Resolution </w:t>
            </w:r>
            <w:r w:rsidRPr="00012E93">
              <w:rPr>
                <w:b/>
                <w:lang w:val="en-US" w:eastAsia="zh-CN"/>
              </w:rPr>
              <w:t>[ASP-H10-WPT] (WRC</w:t>
            </w:r>
            <w:r w:rsidRPr="00012E93">
              <w:rPr>
                <w:b/>
                <w:lang w:val="en-US" w:eastAsia="zh-CN"/>
              </w:rPr>
              <w:noBreakHyphen/>
              <w:t>15)</w:t>
            </w:r>
            <w:r w:rsidRPr="00012E93">
              <w:rPr>
                <w:b/>
                <w:lang w:val="en-US" w:eastAsia="ja-JP"/>
              </w:rPr>
              <w:t xml:space="preserve"> (Attachment 8)</w:t>
            </w:r>
            <w:r w:rsidRPr="00012E93">
              <w:rPr>
                <w:lang w:val="en-US" w:eastAsia="ja-JP"/>
              </w:rPr>
              <w:t>;</w:t>
            </w:r>
          </w:p>
          <w:p w:rsidR="007003F8" w:rsidRPr="00012E93" w:rsidRDefault="007003F8" w:rsidP="00C91E8F">
            <w:pPr>
              <w:pStyle w:val="Tabletext"/>
              <w:rPr>
                <w:b/>
                <w:lang w:val="en-US"/>
              </w:rPr>
            </w:pPr>
            <w:r w:rsidRPr="00012E93">
              <w:rPr>
                <w:b/>
                <w:i/>
                <w:position w:val="6"/>
                <w:lang w:val="en-US"/>
              </w:rPr>
              <w:t>1</w:t>
            </w:r>
            <w:r w:rsidRPr="00012E93">
              <w:rPr>
                <w:b/>
                <w:i/>
                <w:lang w:val="en-US"/>
              </w:rPr>
              <w:t xml:space="preserve"> </w:t>
            </w:r>
            <w:r w:rsidRPr="00012E93">
              <w:rPr>
                <w:b/>
                <w:i/>
                <w:lang w:val="en-US"/>
              </w:rPr>
              <w:tab/>
              <w:t>It refers to non-beam Wireless Power Transmission technologies</w:t>
            </w:r>
            <w:r w:rsidRPr="00012E93">
              <w:rPr>
                <w:lang w:val="en-US"/>
              </w:rPr>
              <w:t>.</w:t>
            </w:r>
          </w:p>
        </w:tc>
      </w:tr>
    </w:tbl>
    <w:p w:rsidR="005F187A" w:rsidRDefault="005F187A" w:rsidP="00711EE0">
      <w:pPr>
        <w:pStyle w:val="Reasons"/>
      </w:pPr>
    </w:p>
    <w:p w:rsidR="00187BD9" w:rsidRPr="005F187A" w:rsidRDefault="005F187A" w:rsidP="005F187A">
      <w:pPr>
        <w:jc w:val="center"/>
      </w:pPr>
      <w:r>
        <w:t>______________</w:t>
      </w:r>
    </w:p>
    <w:sectPr w:rsidR="00187BD9" w:rsidRPr="005F187A" w:rsidSect="0038113E">
      <w:headerReference w:type="default" r:id="rId12"/>
      <w:footerReference w:type="even" r:id="rId13"/>
      <w:footerReference w:type="default" r:id="rId14"/>
      <w:footerReference w:type="first" r:id="rId15"/>
      <w:pgSz w:w="16840" w:h="11907" w:orient="landscape" w:code="9"/>
      <w:pgMar w:top="1417" w:right="1134" w:bottom="1417" w:left="1134" w:header="720" w:footer="72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7C" w:rsidRDefault="009C6D7C">
      <w:r>
        <w:separator/>
      </w:r>
    </w:p>
  </w:endnote>
  <w:endnote w:type="continuationSeparator" w:id="0">
    <w:p w:rsidR="009C6D7C" w:rsidRDefault="009C6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E0" w:rsidRDefault="0029396A">
    <w:pPr>
      <w:framePr w:wrap="around" w:vAnchor="text" w:hAnchor="margin" w:xAlign="right" w:y="1"/>
    </w:pPr>
    <w:r>
      <w:fldChar w:fldCharType="begin"/>
    </w:r>
    <w:r w:rsidR="00711EE0">
      <w:instrText xml:space="preserve">PAGE  </w:instrText>
    </w:r>
    <w:r>
      <w:fldChar w:fldCharType="end"/>
    </w:r>
  </w:p>
  <w:p w:rsidR="00711EE0" w:rsidRPr="0041348E" w:rsidRDefault="0029396A">
    <w:pPr>
      <w:ind w:right="360"/>
      <w:rPr>
        <w:lang w:val="en-US"/>
      </w:rPr>
    </w:pPr>
    <w:fldSimple w:instr=" FILENAME \p  \* MERGEFORMAT ">
      <w:r w:rsidR="00711EE0">
        <w:rPr>
          <w:noProof/>
          <w:lang w:val="en-US"/>
        </w:rPr>
        <w:t>Y:\APP\BR\POOL\WRC-15\DT\1-100\031E.docx</w:t>
      </w:r>
    </w:fldSimple>
    <w:r w:rsidR="00711EE0" w:rsidRPr="0041348E">
      <w:rPr>
        <w:lang w:val="en-US"/>
      </w:rPr>
      <w:tab/>
    </w:r>
    <w:r>
      <w:fldChar w:fldCharType="begin"/>
    </w:r>
    <w:r w:rsidR="00711EE0">
      <w:instrText xml:space="preserve"> SAVEDATE \@ DD.MM.YY </w:instrText>
    </w:r>
    <w:r>
      <w:fldChar w:fldCharType="separate"/>
    </w:r>
    <w:r w:rsidR="00B80254">
      <w:rPr>
        <w:noProof/>
      </w:rPr>
      <w:t>03.11.15</w:t>
    </w:r>
    <w:r>
      <w:fldChar w:fldCharType="end"/>
    </w:r>
    <w:r w:rsidR="00711EE0" w:rsidRPr="0041348E">
      <w:rPr>
        <w:lang w:val="en-US"/>
      </w:rPr>
      <w:tab/>
    </w:r>
    <w:r>
      <w:fldChar w:fldCharType="begin"/>
    </w:r>
    <w:r w:rsidR="00711EE0">
      <w:instrText xml:space="preserve"> PRINTDATE \@ DD.MM.YY </w:instrText>
    </w:r>
    <w:r>
      <w:fldChar w:fldCharType="separate"/>
    </w:r>
    <w:r w:rsidR="00711EE0">
      <w:rPr>
        <w:noProof/>
      </w:rPr>
      <w:t>02.11.15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E0" w:rsidRDefault="0029396A" w:rsidP="00A30305">
    <w:pPr>
      <w:pStyle w:val="Footer"/>
    </w:pPr>
    <w:fldSimple w:instr=" FILENAME \p  \* MERGEFORMAT ">
      <w:r w:rsidR="00711EE0">
        <w:t>P:\ENG\ITU-R\CONF-R\CMR15\DT\000\031E.docx</w:t>
      </w:r>
    </w:fldSimple>
    <w:r w:rsidR="00711EE0">
      <w:t xml:space="preserve"> (389534)</w:t>
    </w:r>
    <w:r w:rsidR="00711EE0">
      <w:tab/>
    </w:r>
    <w:r>
      <w:fldChar w:fldCharType="begin"/>
    </w:r>
    <w:r w:rsidR="00711EE0">
      <w:instrText xml:space="preserve"> SAVEDATE \@ DD.MM.YY </w:instrText>
    </w:r>
    <w:r>
      <w:fldChar w:fldCharType="separate"/>
    </w:r>
    <w:r w:rsidR="00B80254">
      <w:t>03.11.15</w:t>
    </w:r>
    <w:r>
      <w:fldChar w:fldCharType="end"/>
    </w:r>
    <w:r w:rsidR="00711EE0">
      <w:tab/>
    </w:r>
    <w:r>
      <w:fldChar w:fldCharType="begin"/>
    </w:r>
    <w:r w:rsidR="00711EE0">
      <w:instrText xml:space="preserve"> PRINTDATE \@ DD.MM.YY </w:instrText>
    </w:r>
    <w:r>
      <w:fldChar w:fldCharType="separate"/>
    </w:r>
    <w:r w:rsidR="00711EE0">
      <w:t>02.11.15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E0" w:rsidRPr="00582551" w:rsidRDefault="0029396A" w:rsidP="00582551">
    <w:pPr>
      <w:pStyle w:val="Footer"/>
    </w:pPr>
    <w:fldSimple w:instr=" FILENAME \p  \* MERGEFORMAT ">
      <w:r w:rsidR="00711EE0">
        <w:t>P:\ENG\ITU-R\CONF-R\CMR15\DT\000\031E.docx</w:t>
      </w:r>
    </w:fldSimple>
    <w:r w:rsidR="00711EE0">
      <w:t xml:space="preserve"> (389534)</w:t>
    </w:r>
    <w:r w:rsidR="00711EE0">
      <w:tab/>
    </w:r>
    <w:r>
      <w:fldChar w:fldCharType="begin"/>
    </w:r>
    <w:r w:rsidR="00711EE0">
      <w:instrText xml:space="preserve"> SAVEDATE \@ DD.MM.YY </w:instrText>
    </w:r>
    <w:r>
      <w:fldChar w:fldCharType="separate"/>
    </w:r>
    <w:r w:rsidR="00B80254">
      <w:t>03.11.15</w:t>
    </w:r>
    <w:r>
      <w:fldChar w:fldCharType="end"/>
    </w:r>
    <w:r w:rsidR="00711EE0">
      <w:tab/>
    </w:r>
    <w:r>
      <w:fldChar w:fldCharType="begin"/>
    </w:r>
    <w:r w:rsidR="00711EE0">
      <w:instrText xml:space="preserve"> PRINTDATE \@ DD.MM.YY </w:instrText>
    </w:r>
    <w:r>
      <w:fldChar w:fldCharType="separate"/>
    </w:r>
    <w:r w:rsidR="00711EE0">
      <w:t>02.11.15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7C" w:rsidRDefault="009C6D7C">
      <w:r>
        <w:rPr>
          <w:b/>
        </w:rPr>
        <w:t>_______________</w:t>
      </w:r>
    </w:p>
  </w:footnote>
  <w:footnote w:type="continuationSeparator" w:id="0">
    <w:p w:rsidR="009C6D7C" w:rsidRDefault="009C6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E0" w:rsidRDefault="0029396A" w:rsidP="00187BD9">
    <w:pPr>
      <w:pStyle w:val="Header"/>
    </w:pPr>
    <w:r>
      <w:fldChar w:fldCharType="begin"/>
    </w:r>
    <w:r w:rsidR="00711EE0">
      <w:instrText xml:space="preserve"> PAGE  \* MERGEFORMAT </w:instrText>
    </w:r>
    <w:r>
      <w:fldChar w:fldCharType="separate"/>
    </w:r>
    <w:r w:rsidR="003C2A5F">
      <w:rPr>
        <w:noProof/>
      </w:rPr>
      <w:t>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hideGrammaticalErrors/>
  <w:proofState w:spelling="clean" w:grammar="clean"/>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8"/>
  </w:hdrShapeDefaults>
  <w:footnotePr>
    <w:footnote w:id="-1"/>
    <w:footnote w:id="0"/>
  </w:footnotePr>
  <w:endnotePr>
    <w:endnote w:id="-1"/>
    <w:endnote w:id="0"/>
  </w:endnotePr>
  <w:compat/>
  <w:rsids>
    <w:rsidRoot w:val="00A066F1"/>
    <w:rsid w:val="000041EA"/>
    <w:rsid w:val="0001235C"/>
    <w:rsid w:val="00022A29"/>
    <w:rsid w:val="000355FD"/>
    <w:rsid w:val="00042C5C"/>
    <w:rsid w:val="00051E39"/>
    <w:rsid w:val="00053D11"/>
    <w:rsid w:val="000562A1"/>
    <w:rsid w:val="000705F2"/>
    <w:rsid w:val="00077239"/>
    <w:rsid w:val="00086491"/>
    <w:rsid w:val="00091346"/>
    <w:rsid w:val="0009706C"/>
    <w:rsid w:val="000B7DE8"/>
    <w:rsid w:val="000D154B"/>
    <w:rsid w:val="000E0D16"/>
    <w:rsid w:val="000F73FF"/>
    <w:rsid w:val="00114CF7"/>
    <w:rsid w:val="0012114E"/>
    <w:rsid w:val="00123B68"/>
    <w:rsid w:val="00126F2E"/>
    <w:rsid w:val="00146F6F"/>
    <w:rsid w:val="00187BD9"/>
    <w:rsid w:val="00190B55"/>
    <w:rsid w:val="001C3B5F"/>
    <w:rsid w:val="001D058F"/>
    <w:rsid w:val="002009EA"/>
    <w:rsid w:val="00202CA0"/>
    <w:rsid w:val="00216B6D"/>
    <w:rsid w:val="00241FA2"/>
    <w:rsid w:val="00271316"/>
    <w:rsid w:val="0029396A"/>
    <w:rsid w:val="002B349C"/>
    <w:rsid w:val="002D58BE"/>
    <w:rsid w:val="00361B37"/>
    <w:rsid w:val="0037009E"/>
    <w:rsid w:val="00377BD3"/>
    <w:rsid w:val="0038113E"/>
    <w:rsid w:val="00384088"/>
    <w:rsid w:val="003852CE"/>
    <w:rsid w:val="00387DB7"/>
    <w:rsid w:val="0039169B"/>
    <w:rsid w:val="003A7F8C"/>
    <w:rsid w:val="003B0B80"/>
    <w:rsid w:val="003B2284"/>
    <w:rsid w:val="003B532E"/>
    <w:rsid w:val="003C2A5F"/>
    <w:rsid w:val="003D0F8B"/>
    <w:rsid w:val="003E0DB6"/>
    <w:rsid w:val="0041348E"/>
    <w:rsid w:val="00417128"/>
    <w:rsid w:val="00420873"/>
    <w:rsid w:val="0044134C"/>
    <w:rsid w:val="00492075"/>
    <w:rsid w:val="004969AD"/>
    <w:rsid w:val="004A26C4"/>
    <w:rsid w:val="004B13CB"/>
    <w:rsid w:val="004D26EA"/>
    <w:rsid w:val="004D2BFB"/>
    <w:rsid w:val="004D5D5C"/>
    <w:rsid w:val="004D6AEE"/>
    <w:rsid w:val="0050139F"/>
    <w:rsid w:val="0055140B"/>
    <w:rsid w:val="00582551"/>
    <w:rsid w:val="005964AB"/>
    <w:rsid w:val="005C099A"/>
    <w:rsid w:val="005C31A5"/>
    <w:rsid w:val="005E10C9"/>
    <w:rsid w:val="005E290B"/>
    <w:rsid w:val="005E3B44"/>
    <w:rsid w:val="005E61DD"/>
    <w:rsid w:val="005F187A"/>
    <w:rsid w:val="006023DF"/>
    <w:rsid w:val="00616219"/>
    <w:rsid w:val="006441DE"/>
    <w:rsid w:val="00657DE0"/>
    <w:rsid w:val="00663DED"/>
    <w:rsid w:val="00685313"/>
    <w:rsid w:val="00692833"/>
    <w:rsid w:val="00693324"/>
    <w:rsid w:val="006A6E9B"/>
    <w:rsid w:val="006B7C2A"/>
    <w:rsid w:val="006C23DA"/>
    <w:rsid w:val="006D4EDB"/>
    <w:rsid w:val="006E3D45"/>
    <w:rsid w:val="007003F8"/>
    <w:rsid w:val="00711EE0"/>
    <w:rsid w:val="007149F9"/>
    <w:rsid w:val="00733A30"/>
    <w:rsid w:val="00740E1F"/>
    <w:rsid w:val="00745AEE"/>
    <w:rsid w:val="00750F10"/>
    <w:rsid w:val="007742CA"/>
    <w:rsid w:val="0077684F"/>
    <w:rsid w:val="00790D70"/>
    <w:rsid w:val="007A6F1F"/>
    <w:rsid w:val="007D5320"/>
    <w:rsid w:val="00800972"/>
    <w:rsid w:val="00804475"/>
    <w:rsid w:val="0080656D"/>
    <w:rsid w:val="00811633"/>
    <w:rsid w:val="00841216"/>
    <w:rsid w:val="00872FC8"/>
    <w:rsid w:val="008845D0"/>
    <w:rsid w:val="00884D60"/>
    <w:rsid w:val="008B43F2"/>
    <w:rsid w:val="008B6CFF"/>
    <w:rsid w:val="009274B4"/>
    <w:rsid w:val="00934EA2"/>
    <w:rsid w:val="00944A5C"/>
    <w:rsid w:val="00952A66"/>
    <w:rsid w:val="0095508E"/>
    <w:rsid w:val="009B7C9A"/>
    <w:rsid w:val="009C4AEC"/>
    <w:rsid w:val="009C56E5"/>
    <w:rsid w:val="009C6D7C"/>
    <w:rsid w:val="009E5FC8"/>
    <w:rsid w:val="009E687A"/>
    <w:rsid w:val="00A066F1"/>
    <w:rsid w:val="00A141AF"/>
    <w:rsid w:val="00A16D29"/>
    <w:rsid w:val="00A30305"/>
    <w:rsid w:val="00A31D2D"/>
    <w:rsid w:val="00A4600A"/>
    <w:rsid w:val="00A538A6"/>
    <w:rsid w:val="00A54C25"/>
    <w:rsid w:val="00A56D4F"/>
    <w:rsid w:val="00A65B3B"/>
    <w:rsid w:val="00A710E7"/>
    <w:rsid w:val="00A7372E"/>
    <w:rsid w:val="00A93B85"/>
    <w:rsid w:val="00AA0B18"/>
    <w:rsid w:val="00AA3C65"/>
    <w:rsid w:val="00AA666F"/>
    <w:rsid w:val="00AE5A6F"/>
    <w:rsid w:val="00B067AA"/>
    <w:rsid w:val="00B3550B"/>
    <w:rsid w:val="00B50753"/>
    <w:rsid w:val="00B639E9"/>
    <w:rsid w:val="00B73CCE"/>
    <w:rsid w:val="00B80254"/>
    <w:rsid w:val="00B817CD"/>
    <w:rsid w:val="00B81A7D"/>
    <w:rsid w:val="00B94AD0"/>
    <w:rsid w:val="00BB3A95"/>
    <w:rsid w:val="00BD6CCE"/>
    <w:rsid w:val="00C0018F"/>
    <w:rsid w:val="00C16A5A"/>
    <w:rsid w:val="00C20466"/>
    <w:rsid w:val="00C214ED"/>
    <w:rsid w:val="00C234E6"/>
    <w:rsid w:val="00C324A8"/>
    <w:rsid w:val="00C52C6F"/>
    <w:rsid w:val="00C54517"/>
    <w:rsid w:val="00C64CD8"/>
    <w:rsid w:val="00C91E8F"/>
    <w:rsid w:val="00C97C68"/>
    <w:rsid w:val="00CA1A47"/>
    <w:rsid w:val="00CB44E5"/>
    <w:rsid w:val="00CB6886"/>
    <w:rsid w:val="00CC247A"/>
    <w:rsid w:val="00CE388F"/>
    <w:rsid w:val="00CE5E47"/>
    <w:rsid w:val="00CF020F"/>
    <w:rsid w:val="00CF2B5B"/>
    <w:rsid w:val="00D01DA8"/>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70629"/>
    <w:rsid w:val="00E976C1"/>
    <w:rsid w:val="00EA12E5"/>
    <w:rsid w:val="00EB55C6"/>
    <w:rsid w:val="00EF1932"/>
    <w:rsid w:val="00F02766"/>
    <w:rsid w:val="00F05BD4"/>
    <w:rsid w:val="00F6155B"/>
    <w:rsid w:val="00F65C19"/>
    <w:rsid w:val="00FD18DA"/>
    <w:rsid w:val="00FD2546"/>
    <w:rsid w:val="00FD772E"/>
    <w:rsid w:val="00FE2D7D"/>
    <w:rsid w:val="00FE78C7"/>
    <w:rsid w:val="00FF43AC"/>
    <w:rsid w:val="00FF5EA8"/>
    <w:rsid w:val="00FF79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0E0D16"/>
    <w:pPr>
      <w:keepNext/>
      <w:keepLines/>
      <w:spacing w:before="280"/>
      <w:ind w:left="1134" w:hanging="1134"/>
      <w:outlineLvl w:val="0"/>
    </w:pPr>
    <w:rPr>
      <w:b/>
      <w:sz w:val="28"/>
    </w:rPr>
  </w:style>
  <w:style w:type="paragraph" w:styleId="Heading2">
    <w:name w:val="heading 2"/>
    <w:basedOn w:val="Heading1"/>
    <w:next w:val="Normal"/>
    <w:qFormat/>
    <w:rsid w:val="000E0D16"/>
    <w:pPr>
      <w:spacing w:before="200"/>
      <w:outlineLvl w:val="1"/>
    </w:pPr>
    <w:rPr>
      <w:sz w:val="24"/>
    </w:rPr>
  </w:style>
  <w:style w:type="paragraph" w:styleId="Heading3">
    <w:name w:val="heading 3"/>
    <w:basedOn w:val="Heading1"/>
    <w:next w:val="Normal"/>
    <w:qFormat/>
    <w:rsid w:val="000E0D16"/>
    <w:pPr>
      <w:tabs>
        <w:tab w:val="clear" w:pos="1134"/>
      </w:tabs>
      <w:spacing w:before="200"/>
      <w:outlineLvl w:val="2"/>
    </w:pPr>
    <w:rPr>
      <w:sz w:val="24"/>
    </w:rPr>
  </w:style>
  <w:style w:type="paragraph" w:styleId="Heading4">
    <w:name w:val="heading 4"/>
    <w:basedOn w:val="Heading3"/>
    <w:next w:val="Normal"/>
    <w:qFormat/>
    <w:rsid w:val="000E0D16"/>
    <w:pPr>
      <w:outlineLvl w:val="3"/>
    </w:pPr>
  </w:style>
  <w:style w:type="paragraph" w:styleId="Heading5">
    <w:name w:val="heading 5"/>
    <w:basedOn w:val="Heading4"/>
    <w:next w:val="Normal"/>
    <w:qFormat/>
    <w:rsid w:val="000E0D16"/>
    <w:pPr>
      <w:outlineLvl w:val="4"/>
    </w:pPr>
  </w:style>
  <w:style w:type="paragraph" w:styleId="Heading6">
    <w:name w:val="heading 6"/>
    <w:basedOn w:val="Heading4"/>
    <w:next w:val="Normal"/>
    <w:qFormat/>
    <w:rsid w:val="000E0D16"/>
    <w:pPr>
      <w:outlineLvl w:val="5"/>
    </w:pPr>
  </w:style>
  <w:style w:type="paragraph" w:styleId="Heading7">
    <w:name w:val="heading 7"/>
    <w:basedOn w:val="Heading6"/>
    <w:next w:val="Normal"/>
    <w:qFormat/>
    <w:rsid w:val="000E0D16"/>
    <w:pPr>
      <w:outlineLvl w:val="6"/>
    </w:pPr>
  </w:style>
  <w:style w:type="paragraph" w:styleId="Heading8">
    <w:name w:val="heading 8"/>
    <w:basedOn w:val="Heading6"/>
    <w:next w:val="Normal"/>
    <w:qFormat/>
    <w:rsid w:val="000E0D16"/>
    <w:pPr>
      <w:outlineLvl w:val="7"/>
    </w:pPr>
  </w:style>
  <w:style w:type="paragraph" w:styleId="Heading9">
    <w:name w:val="heading 9"/>
    <w:basedOn w:val="Heading6"/>
    <w:next w:val="Normal"/>
    <w:qFormat/>
    <w:rsid w:val="000E0D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basedOn w:val="DefaultParagraphFont"/>
    <w:uiPriority w:val="99"/>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styleId="Hyperlink">
    <w:name w:val="Hyperlink"/>
    <w:rsid w:val="0038113E"/>
    <w:rPr>
      <w:color w:val="0000FF"/>
      <w:u w:val="single"/>
    </w:rPr>
  </w:style>
  <w:style w:type="character" w:customStyle="1" w:styleId="enumlev1Char">
    <w:name w:val="enumlev1 Char"/>
    <w:basedOn w:val="DefaultParagraphFont"/>
    <w:link w:val="enumlev1"/>
    <w:rsid w:val="0038113E"/>
    <w:rPr>
      <w:rFonts w:ascii="Times New Roman" w:hAnsi="Times New Roman"/>
      <w:sz w:val="24"/>
      <w:lang w:val="en-GB" w:eastAsia="en-US"/>
    </w:rPr>
  </w:style>
  <w:style w:type="character" w:customStyle="1" w:styleId="AnnexNoCar">
    <w:name w:val="Annex_No Car"/>
    <w:basedOn w:val="DefaultParagraphFont"/>
    <w:link w:val="AnnexNo"/>
    <w:rsid w:val="0038113E"/>
    <w:rPr>
      <w:rFonts w:ascii="Times New Roman" w:hAnsi="Times New Roman"/>
      <w:caps/>
      <w:sz w:val="28"/>
      <w:lang w:val="en-GB" w:eastAsia="en-US"/>
    </w:rPr>
  </w:style>
  <w:style w:type="character" w:customStyle="1" w:styleId="href">
    <w:name w:val="href"/>
    <w:basedOn w:val="DefaultParagraphFont"/>
    <w:rsid w:val="0038113E"/>
    <w:rPr>
      <w:color w:val="auto"/>
    </w:rPr>
  </w:style>
  <w:style w:type="paragraph" w:styleId="ListParagraph">
    <w:name w:val="List Paragraph"/>
    <w:basedOn w:val="Normal"/>
    <w:uiPriority w:val="34"/>
    <w:qFormat/>
    <w:rsid w:val="0038113E"/>
    <w:pPr>
      <w:ind w:left="720"/>
      <w:contextualSpacing/>
    </w:pPr>
  </w:style>
  <w:style w:type="numbering" w:customStyle="1" w:styleId="NoList1">
    <w:name w:val="No List1"/>
    <w:next w:val="NoList"/>
    <w:uiPriority w:val="99"/>
    <w:semiHidden/>
    <w:unhideWhenUsed/>
    <w:rsid w:val="0038113E"/>
  </w:style>
  <w:style w:type="table" w:customStyle="1" w:styleId="TableGrid1">
    <w:name w:val="Table Grid1"/>
    <w:basedOn w:val="TableNormal"/>
    <w:next w:val="TableGrid"/>
    <w:uiPriority w:val="39"/>
    <w:rsid w:val="0038113E"/>
    <w:rPr>
      <w:rFonts w:ascii="Calibri" w:eastAsia="Calibri" w:hAnsi="Calibri" w:cs="Arial"/>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Normal">
    <w:name w:val="BR_Normal"/>
    <w:basedOn w:val="DefaultParagraphFont"/>
    <w:uiPriority w:val="1"/>
    <w:qFormat/>
    <w:rsid w:val="0038113E"/>
  </w:style>
  <w:style w:type="character" w:customStyle="1" w:styleId="ReasonsChar">
    <w:name w:val="Reasons Char"/>
    <w:link w:val="Reasons"/>
    <w:locked/>
    <w:rsid w:val="0038113E"/>
    <w:rPr>
      <w:rFonts w:ascii="Times New Roman" w:hAnsi="Times New Roman"/>
      <w:sz w:val="24"/>
      <w:lang w:val="en-GB" w:eastAsia="en-US"/>
    </w:rPr>
  </w:style>
  <w:style w:type="paragraph" w:customStyle="1" w:styleId="dpstyleresno">
    <w:name w:val="dpstyleresno"/>
    <w:basedOn w:val="Normal"/>
    <w:rsid w:val="0038113E"/>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dpstylehref">
    <w:name w:val="dpstylehref"/>
    <w:basedOn w:val="DefaultParagraphFont"/>
    <w:rsid w:val="0038113E"/>
  </w:style>
  <w:style w:type="paragraph" w:customStyle="1" w:styleId="dpstylerestitle">
    <w:name w:val="dpstylerestitle"/>
    <w:basedOn w:val="Normal"/>
    <w:rsid w:val="0038113E"/>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paragraph" w:customStyle="1" w:styleId="dpstylenormalaftertitle">
    <w:name w:val="dpstylenormalaftertitle"/>
    <w:basedOn w:val="Normal"/>
    <w:rsid w:val="0038113E"/>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paragraph" w:styleId="NormalWeb">
    <w:name w:val="Normal (Web)"/>
    <w:basedOn w:val="Normal"/>
    <w:uiPriority w:val="99"/>
    <w:semiHidden/>
    <w:unhideWhenUsed/>
    <w:rsid w:val="0038113E"/>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paragraph" w:customStyle="1" w:styleId="dpstylecall">
    <w:name w:val="dpstylecall"/>
    <w:basedOn w:val="Normal"/>
    <w:rsid w:val="0038113E"/>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table" w:styleId="TableGrid">
    <w:name w:val="Table Grid"/>
    <w:basedOn w:val="TableNormal"/>
    <w:uiPriority w:val="39"/>
    <w:rsid w:val="00381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R15-WRC15-151102-TD-0031!!MSW-E</DPM_x0020_File_x0020_name>
    <DPM_x0020_Author xmlns="32a1a8c5-2265-4ebc-b7a0-2071e2c5c9bb" xsi:nil="false">Documents Proposals Manager (DPM)</DPM_x0020_Author>
    <DPM_x0020_Version xmlns="32a1a8c5-2265-4ebc-b7a0-2071e2c5c9bb" xsi:nil="false">DPM_v5.2015.11.2_prod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674D9AEC-C365-4F9F-8849-C46B0405F772}">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9793CA-5E14-4AFD-A4DF-FDE1B68B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Template>
  <TotalTime>188</TotalTime>
  <Pages>7</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R15-WRC15-151102-TD-0031!!MSW-E</vt:lpstr>
    </vt:vector>
  </TitlesOfParts>
  <Manager>General Secretariat - Pool</Manager>
  <Company>International Telecommunication Union (ITU)</Company>
  <LinksUpToDate>false</LinksUpToDate>
  <CharactersWithSpaces>18470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R15-WRC15-151102-TD-0031!!MSW-E</dc:title>
  <dc:subject>World Radiocommunication Conference - 2015</dc:subject>
  <dc:creator>Documents Proposals Manager (DPM)</dc:creator>
  <cp:keywords>DPM_v5.2015.11.2_prod</cp:keywords>
  <dc:description>Uploaded on 2015.07.06</dc:description>
  <cp:lastModifiedBy>cra</cp:lastModifiedBy>
  <cp:revision>20</cp:revision>
  <cp:lastPrinted>2015-11-02T17:36:00Z</cp:lastPrinted>
  <dcterms:created xsi:type="dcterms:W3CDTF">2015-11-03T10:39:00Z</dcterms:created>
  <dcterms:modified xsi:type="dcterms:W3CDTF">2015-11-04T20:26:00Z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