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5760"/>
        <w:gridCol w:w="2304"/>
      </w:tblGrid>
      <w:tr w:rsidR="00CF3963" w:rsidRPr="00891D0B" w14:paraId="73E4C0C3" w14:textId="77777777" w:rsidTr="004F2C0A">
        <w:trPr>
          <w:cantSplit/>
        </w:trPr>
        <w:tc>
          <w:tcPr>
            <w:tcW w:w="1399" w:type="dxa"/>
            <w:vMerge w:val="restart"/>
          </w:tcPr>
          <w:p w14:paraId="41AAFC28" w14:textId="77777777" w:rsidR="00CF3963" w:rsidRPr="00891D0B" w:rsidRDefault="00CF3963" w:rsidP="000D03BE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3808B352" wp14:editId="40D430FF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57986C63" w14:textId="77777777" w:rsidR="00CF3963" w:rsidRPr="00891D0B" w:rsidRDefault="00CF3963" w:rsidP="000D03BE">
            <w:r w:rsidRPr="00096326">
              <w:t>ASIA-PACIFIC TELECOMMUNITY</w:t>
            </w:r>
          </w:p>
        </w:tc>
        <w:tc>
          <w:tcPr>
            <w:tcW w:w="2304" w:type="dxa"/>
          </w:tcPr>
          <w:p w14:paraId="0D82F459" w14:textId="77777777" w:rsidR="00CF3963" w:rsidRPr="00096326" w:rsidRDefault="00CF3963" w:rsidP="000D03BE">
            <w:pPr>
              <w:rPr>
                <w:b/>
                <w:bCs/>
                <w:lang w:val="fr-FR"/>
              </w:rPr>
            </w:pPr>
            <w:r w:rsidRPr="00C15799">
              <w:rPr>
                <w:b/>
                <w:lang w:val="fr-FR"/>
              </w:rPr>
              <w:t>Document</w:t>
            </w:r>
            <w:r>
              <w:rPr>
                <w:b/>
                <w:lang w:val="fr-FR"/>
              </w:rPr>
              <w:t xml:space="preserve">: </w:t>
            </w:r>
          </w:p>
        </w:tc>
      </w:tr>
      <w:tr w:rsidR="00CF3963" w:rsidRPr="00C15799" w14:paraId="448FBFF1" w14:textId="77777777" w:rsidTr="004F2C0A">
        <w:trPr>
          <w:cantSplit/>
        </w:trPr>
        <w:tc>
          <w:tcPr>
            <w:tcW w:w="1399" w:type="dxa"/>
            <w:vMerge/>
          </w:tcPr>
          <w:p w14:paraId="29C3EF27" w14:textId="77777777" w:rsidR="00CF3963" w:rsidRPr="00891D0B" w:rsidRDefault="00CF3963" w:rsidP="000D03BE"/>
        </w:tc>
        <w:tc>
          <w:tcPr>
            <w:tcW w:w="5760" w:type="dxa"/>
          </w:tcPr>
          <w:p w14:paraId="5CBA7DD0" w14:textId="77777777" w:rsidR="00CF3963" w:rsidRPr="00891D0B" w:rsidRDefault="00CF3963" w:rsidP="000D03BE">
            <w:r>
              <w:rPr>
                <w:b/>
              </w:rPr>
              <w:t>The 2nd Meeting of the APT Conference Preparatory  Group for WRC-19 (APG19-2)</w:t>
            </w:r>
          </w:p>
        </w:tc>
        <w:tc>
          <w:tcPr>
            <w:tcW w:w="2304" w:type="dxa"/>
          </w:tcPr>
          <w:p w14:paraId="79797BCF" w14:textId="31D00E83" w:rsidR="00CF3963" w:rsidRPr="00544D0C" w:rsidRDefault="00CF3963" w:rsidP="00D96F00">
            <w:pPr>
              <w:rPr>
                <w:rFonts w:eastAsia="MS Mincho"/>
                <w:b/>
                <w:bCs/>
                <w:lang w:val="fr-FR" w:eastAsia="ja-JP"/>
              </w:rPr>
            </w:pPr>
            <w:r>
              <w:rPr>
                <w:b/>
                <w:bCs/>
                <w:lang w:val="fr-FR"/>
              </w:rPr>
              <w:t>APG19-2/</w:t>
            </w:r>
            <w:r w:rsidR="00F25419">
              <w:rPr>
                <w:b/>
                <w:bCs/>
                <w:lang w:val="fr-FR"/>
              </w:rPr>
              <w:t>OUT</w:t>
            </w:r>
            <w:r w:rsidR="00311E8A">
              <w:rPr>
                <w:b/>
                <w:bCs/>
                <w:lang w:val="fr-FR"/>
              </w:rPr>
              <w:t>-</w:t>
            </w:r>
            <w:r w:rsidR="00544D0C">
              <w:rPr>
                <w:rFonts w:eastAsia="MS Mincho" w:hint="eastAsia"/>
                <w:b/>
                <w:bCs/>
                <w:lang w:val="fr-FR" w:eastAsia="ja-JP"/>
              </w:rPr>
              <w:t>03</w:t>
            </w:r>
          </w:p>
        </w:tc>
      </w:tr>
      <w:tr w:rsidR="00CF3963" w:rsidRPr="00891D0B" w14:paraId="53A9E6D1" w14:textId="77777777" w:rsidTr="004F2C0A">
        <w:trPr>
          <w:cantSplit/>
          <w:trHeight w:val="219"/>
        </w:trPr>
        <w:tc>
          <w:tcPr>
            <w:tcW w:w="1399" w:type="dxa"/>
            <w:vMerge/>
          </w:tcPr>
          <w:p w14:paraId="59C3513F" w14:textId="77777777" w:rsidR="00CF3963" w:rsidRPr="00C15799" w:rsidRDefault="00CF3963" w:rsidP="000D03BE">
            <w:pPr>
              <w:rPr>
                <w:lang w:val="fr-FR"/>
              </w:rPr>
            </w:pPr>
          </w:p>
        </w:tc>
        <w:tc>
          <w:tcPr>
            <w:tcW w:w="5760" w:type="dxa"/>
          </w:tcPr>
          <w:p w14:paraId="3510CFC7" w14:textId="77777777" w:rsidR="00CF3963" w:rsidRPr="00891D0B" w:rsidRDefault="00CF3963" w:rsidP="000D03BE">
            <w:r>
              <w:t>17 – 21 July 2017</w:t>
            </w:r>
            <w:r w:rsidRPr="00891D0B">
              <w:t xml:space="preserve">, </w:t>
            </w:r>
            <w:r>
              <w:t>Bali, Republic of Indonesia</w:t>
            </w:r>
          </w:p>
        </w:tc>
        <w:tc>
          <w:tcPr>
            <w:tcW w:w="2304" w:type="dxa"/>
          </w:tcPr>
          <w:p w14:paraId="60FFE2BA" w14:textId="532DE693" w:rsidR="00CF3963" w:rsidRPr="00712451" w:rsidRDefault="00F25419" w:rsidP="000D03BE">
            <w:pPr>
              <w:rPr>
                <w:b/>
              </w:rPr>
            </w:pPr>
            <w:r>
              <w:rPr>
                <w:b/>
              </w:rPr>
              <w:t>21</w:t>
            </w:r>
            <w:r w:rsidR="00CF3963">
              <w:rPr>
                <w:b/>
              </w:rPr>
              <w:t xml:space="preserve"> July 2017</w:t>
            </w:r>
          </w:p>
        </w:tc>
      </w:tr>
    </w:tbl>
    <w:p w14:paraId="4B5BF43D" w14:textId="77777777" w:rsidR="00BB67B0" w:rsidRPr="00A670B2" w:rsidRDefault="00BB67B0" w:rsidP="000D03BE">
      <w:pPr>
        <w:rPr>
          <w:b/>
          <w:sz w:val="16"/>
          <w:szCs w:val="16"/>
          <w:lang w:val="en-NZ" w:eastAsia="ko-KR"/>
        </w:rPr>
      </w:pPr>
    </w:p>
    <w:p w14:paraId="35877C5E" w14:textId="77777777" w:rsidR="00A670B2" w:rsidRPr="00A670B2" w:rsidRDefault="00A670B2" w:rsidP="000D03BE">
      <w:pPr>
        <w:rPr>
          <w:b/>
          <w:sz w:val="16"/>
          <w:szCs w:val="16"/>
          <w:lang w:val="en-NZ" w:eastAsia="ko-KR"/>
        </w:rPr>
      </w:pPr>
    </w:p>
    <w:p w14:paraId="2E0E6744" w14:textId="553094FF" w:rsidR="00B64A60" w:rsidRPr="00776013" w:rsidRDefault="00190D73" w:rsidP="000D03BE">
      <w:pPr>
        <w:jc w:val="center"/>
        <w:rPr>
          <w:lang w:val="en-NZ" w:eastAsia="ko-KR"/>
        </w:rPr>
      </w:pPr>
      <w:r w:rsidRPr="00776013">
        <w:rPr>
          <w:lang w:val="en-NZ" w:eastAsia="ko-KR"/>
        </w:rPr>
        <w:t>Working Party 3</w:t>
      </w:r>
    </w:p>
    <w:p w14:paraId="3C4F4E62" w14:textId="77777777" w:rsidR="00643544" w:rsidRPr="007C0F4A" w:rsidRDefault="00643544" w:rsidP="000D03BE">
      <w:pPr>
        <w:jc w:val="center"/>
        <w:rPr>
          <w:b/>
          <w:lang w:val="en-NZ" w:eastAsia="ko-KR"/>
        </w:rPr>
      </w:pPr>
    </w:p>
    <w:p w14:paraId="2E0E6746" w14:textId="130A6226" w:rsidR="00B64A60" w:rsidRPr="00311E8A" w:rsidRDefault="00B64A60" w:rsidP="000D03BE">
      <w:pPr>
        <w:jc w:val="center"/>
        <w:rPr>
          <w:b/>
          <w:bCs/>
          <w:caps/>
          <w:lang w:val="en-NZ"/>
        </w:rPr>
      </w:pPr>
      <w:r w:rsidRPr="00311E8A">
        <w:rPr>
          <w:b/>
          <w:bCs/>
          <w:caps/>
          <w:lang w:val="en-NZ"/>
        </w:rPr>
        <w:t>PRELIMINARY VIEWs on WRC-19 agenda item 1.</w:t>
      </w:r>
      <w:r w:rsidR="00AD1246">
        <w:rPr>
          <w:b/>
          <w:bCs/>
          <w:caps/>
          <w:lang w:val="en-NZ"/>
        </w:rPr>
        <w:t>4</w:t>
      </w:r>
    </w:p>
    <w:p w14:paraId="7409CBE9" w14:textId="77777777" w:rsidR="007C0F4A" w:rsidRDefault="007C0F4A" w:rsidP="000D03BE">
      <w:pPr>
        <w:jc w:val="both"/>
        <w:rPr>
          <w:b/>
          <w:lang w:val="en-NZ"/>
        </w:rPr>
      </w:pPr>
    </w:p>
    <w:p w14:paraId="3E3D100D" w14:textId="77777777" w:rsidR="00D96F00" w:rsidRDefault="00D96F00" w:rsidP="000D03BE">
      <w:pPr>
        <w:jc w:val="both"/>
        <w:rPr>
          <w:b/>
          <w:lang w:val="en-NZ"/>
        </w:rPr>
      </w:pPr>
    </w:p>
    <w:p w14:paraId="3C302EAC" w14:textId="639F6AA0" w:rsidR="00AD1246" w:rsidRPr="00A325EB" w:rsidRDefault="00B64A60" w:rsidP="000D03BE">
      <w:pPr>
        <w:jc w:val="both"/>
        <w:rPr>
          <w:lang w:val="en-NZ"/>
        </w:rPr>
      </w:pPr>
      <w:r w:rsidRPr="00710333">
        <w:rPr>
          <w:b/>
          <w:lang w:val="en-NZ"/>
        </w:rPr>
        <w:t>Agenda Item 1.</w:t>
      </w:r>
      <w:r w:rsidR="00AD1246">
        <w:rPr>
          <w:b/>
          <w:lang w:val="en-NZ"/>
        </w:rPr>
        <w:t>4</w:t>
      </w:r>
      <w:r w:rsidRPr="00710333">
        <w:rPr>
          <w:b/>
          <w:lang w:val="en-NZ"/>
        </w:rPr>
        <w:t xml:space="preserve">: </w:t>
      </w:r>
    </w:p>
    <w:p w14:paraId="35A55DF9" w14:textId="77777777" w:rsidR="000D03BE" w:rsidRPr="004A6AFB" w:rsidRDefault="000D03BE" w:rsidP="000D03BE">
      <w:pPr>
        <w:ind w:left="90"/>
        <w:rPr>
          <w:i/>
          <w:sz w:val="12"/>
          <w:szCs w:val="12"/>
          <w:lang w:val="en-AU"/>
        </w:rPr>
      </w:pPr>
    </w:p>
    <w:p w14:paraId="6FEB43B0" w14:textId="5F58E6EA" w:rsidR="00AD1246" w:rsidRDefault="00AD1246" w:rsidP="000D03BE">
      <w:pPr>
        <w:ind w:left="90"/>
        <w:rPr>
          <w:i/>
          <w:lang w:val="en-AU"/>
        </w:rPr>
      </w:pPr>
      <w:r>
        <w:rPr>
          <w:i/>
          <w:lang w:val="en-AU"/>
        </w:rPr>
        <w:t>“</w:t>
      </w:r>
      <w:r w:rsidRPr="009E2846">
        <w:rPr>
          <w:i/>
          <w:lang w:val="en-AU"/>
        </w:rPr>
        <w:t xml:space="preserve">to consider the results of studies in accordance with Resolution </w:t>
      </w:r>
      <w:r w:rsidRPr="009E2846">
        <w:rPr>
          <w:b/>
          <w:bCs/>
          <w:i/>
          <w:lang w:val="en-AU"/>
        </w:rPr>
        <w:t>557 (WRC-15)</w:t>
      </w:r>
      <w:r w:rsidRPr="009E2846">
        <w:rPr>
          <w:i/>
          <w:lang w:val="en-AU"/>
        </w:rPr>
        <w:t>, and</w:t>
      </w:r>
      <w:r>
        <w:rPr>
          <w:i/>
          <w:lang w:val="en-AU"/>
        </w:rPr>
        <w:t xml:space="preserve"> </w:t>
      </w:r>
      <w:r w:rsidRPr="009E2846">
        <w:rPr>
          <w:i/>
          <w:lang w:val="en-AU"/>
        </w:rPr>
        <w:t xml:space="preserve">review, and revise if necessary, the limitations mentioned in Annex 7 to Appendix </w:t>
      </w:r>
      <w:r w:rsidRPr="009E2846">
        <w:rPr>
          <w:b/>
          <w:bCs/>
          <w:i/>
          <w:lang w:val="en-AU"/>
        </w:rPr>
        <w:t>30</w:t>
      </w:r>
      <w:r>
        <w:rPr>
          <w:b/>
          <w:bCs/>
          <w:i/>
          <w:lang w:val="en-AU"/>
        </w:rPr>
        <w:t xml:space="preserve"> </w:t>
      </w:r>
      <w:r w:rsidRPr="009E2846">
        <w:rPr>
          <w:b/>
          <w:bCs/>
          <w:i/>
          <w:lang w:val="en-AU"/>
        </w:rPr>
        <w:t>(Rev.WRC-15)</w:t>
      </w:r>
      <w:r w:rsidRPr="009E2846">
        <w:rPr>
          <w:i/>
          <w:lang w:val="en-AU"/>
        </w:rPr>
        <w:t>, while ensuring the protection of, and without imposing additional constraints on,</w:t>
      </w:r>
      <w:r>
        <w:rPr>
          <w:i/>
          <w:lang w:val="en-AU"/>
        </w:rPr>
        <w:t xml:space="preserve"> </w:t>
      </w:r>
      <w:r w:rsidRPr="009E2846">
        <w:rPr>
          <w:i/>
          <w:lang w:val="en-AU"/>
        </w:rPr>
        <w:t>assignments in the Plan and the List and the future development of the broadcasting-satellite service</w:t>
      </w:r>
      <w:r>
        <w:rPr>
          <w:i/>
          <w:lang w:val="en-AU"/>
        </w:rPr>
        <w:t xml:space="preserve"> </w:t>
      </w:r>
      <w:r w:rsidRPr="009E2846">
        <w:rPr>
          <w:i/>
          <w:lang w:val="en-AU"/>
        </w:rPr>
        <w:t>within the Plan, and existing and planned fixed-satellite service networks</w:t>
      </w:r>
      <w:r>
        <w:rPr>
          <w:i/>
          <w:lang w:val="en-AU"/>
        </w:rPr>
        <w:t>”.</w:t>
      </w:r>
    </w:p>
    <w:p w14:paraId="6D754DFC" w14:textId="77777777" w:rsidR="003B5440" w:rsidRDefault="003B5440" w:rsidP="000D03BE">
      <w:pPr>
        <w:ind w:left="90"/>
        <w:jc w:val="both"/>
        <w:rPr>
          <w:i/>
          <w:lang w:eastAsia="ko-KR"/>
        </w:rPr>
      </w:pPr>
    </w:p>
    <w:p w14:paraId="573442F1" w14:textId="2E998982" w:rsidR="0041509B" w:rsidRPr="0041509B" w:rsidRDefault="0041509B" w:rsidP="000D03BE">
      <w:pPr>
        <w:ind w:left="90"/>
        <w:jc w:val="both"/>
        <w:rPr>
          <w:i/>
          <w:lang w:eastAsia="ko-KR"/>
        </w:rPr>
      </w:pPr>
      <w:r w:rsidRPr="0041509B">
        <w:rPr>
          <w:rFonts w:hint="eastAsia"/>
          <w:i/>
          <w:lang w:eastAsia="ko-KR"/>
        </w:rPr>
        <w:t xml:space="preserve">Resolution </w:t>
      </w:r>
      <w:r w:rsidRPr="0041509B">
        <w:rPr>
          <w:b/>
          <w:i/>
          <w:lang w:eastAsia="ko-KR"/>
        </w:rPr>
        <w:t>557 (WRC-15)</w:t>
      </w:r>
      <w:r w:rsidRPr="0041509B">
        <w:rPr>
          <w:rFonts w:hint="eastAsia"/>
          <w:lang w:eastAsia="ko-KR"/>
        </w:rPr>
        <w:t xml:space="preserve"> -</w:t>
      </w:r>
      <w:r w:rsidRPr="0041509B">
        <w:rPr>
          <w:rFonts w:hint="eastAsia"/>
          <w:i/>
          <w:lang w:eastAsia="ko-KR"/>
        </w:rPr>
        <w:t xml:space="preserve"> </w:t>
      </w:r>
      <w:r w:rsidRPr="0041509B">
        <w:rPr>
          <w:rFonts w:eastAsia="SimSun"/>
          <w:i/>
          <w:iCs/>
        </w:rPr>
        <w:t xml:space="preserve">Consideration of possible revision of Annex 7 to Appendix </w:t>
      </w:r>
      <w:r w:rsidRPr="0041509B">
        <w:rPr>
          <w:rFonts w:eastAsia="SimSun"/>
          <w:b/>
          <w:bCs/>
          <w:i/>
          <w:iCs/>
        </w:rPr>
        <w:t>30</w:t>
      </w:r>
      <w:r w:rsidRPr="0041509B">
        <w:rPr>
          <w:rFonts w:eastAsia="SimSun"/>
          <w:i/>
          <w:iCs/>
        </w:rPr>
        <w:t xml:space="preserve"> of the Radio Regulations</w:t>
      </w:r>
      <w:r w:rsidR="002051D0">
        <w:rPr>
          <w:rFonts w:eastAsia="SimSun"/>
          <w:i/>
          <w:iCs/>
        </w:rPr>
        <w:t>.</w:t>
      </w:r>
    </w:p>
    <w:p w14:paraId="533D1DBC" w14:textId="77777777" w:rsidR="002051D0" w:rsidRPr="00710333" w:rsidRDefault="002051D0" w:rsidP="000D03BE">
      <w:pPr>
        <w:jc w:val="both"/>
        <w:rPr>
          <w:lang w:val="en-NZ"/>
        </w:rPr>
      </w:pPr>
    </w:p>
    <w:p w14:paraId="2E0E674B" w14:textId="6635B8A1" w:rsidR="00B64A60" w:rsidRPr="00710333" w:rsidRDefault="00B64A60" w:rsidP="000D03BE">
      <w:pPr>
        <w:jc w:val="both"/>
        <w:rPr>
          <w:b/>
          <w:lang w:val="en-NZ" w:eastAsia="ko-KR"/>
        </w:rPr>
      </w:pPr>
      <w:r w:rsidRPr="00710333">
        <w:rPr>
          <w:b/>
          <w:lang w:val="en-NZ" w:eastAsia="ko-KR"/>
        </w:rPr>
        <w:t xml:space="preserve">1. </w:t>
      </w:r>
      <w:r>
        <w:rPr>
          <w:b/>
          <w:lang w:val="en-NZ" w:eastAsia="ko-KR"/>
        </w:rPr>
        <w:tab/>
      </w:r>
      <w:r w:rsidRPr="00710333">
        <w:rPr>
          <w:b/>
          <w:lang w:val="en-NZ" w:eastAsia="ko-KR"/>
        </w:rPr>
        <w:t>Background</w:t>
      </w:r>
    </w:p>
    <w:p w14:paraId="2A878F23" w14:textId="77777777" w:rsidR="00170E28" w:rsidRPr="00290840" w:rsidRDefault="00170E28" w:rsidP="00BA05F7">
      <w:pPr>
        <w:pStyle w:val="ListParagraph"/>
        <w:ind w:left="0"/>
        <w:rPr>
          <w:sz w:val="16"/>
          <w:szCs w:val="16"/>
        </w:rPr>
      </w:pPr>
    </w:p>
    <w:p w14:paraId="2357E6FF" w14:textId="0E52799B" w:rsidR="00170E28" w:rsidRPr="00095148" w:rsidRDefault="00170E28" w:rsidP="000D03BE">
      <w:pPr>
        <w:pStyle w:val="ListParagraph"/>
        <w:tabs>
          <w:tab w:val="left" w:pos="794"/>
          <w:tab w:val="left" w:pos="1191"/>
        </w:tabs>
        <w:ind w:left="0"/>
      </w:pPr>
      <w:r w:rsidRPr="00095148">
        <w:t xml:space="preserve">WRC-15 adopted Resolution (Resolutions </w:t>
      </w:r>
      <w:r w:rsidRPr="00170E28">
        <w:rPr>
          <w:b/>
          <w:bCs/>
        </w:rPr>
        <w:t>557 (WRC-15)</w:t>
      </w:r>
      <w:r w:rsidRPr="00095148">
        <w:t xml:space="preserve">) to study possible revisions of the limitations mentioned in Annex 7 to Appendix </w:t>
      </w:r>
      <w:r w:rsidRPr="00170E28">
        <w:rPr>
          <w:b/>
        </w:rPr>
        <w:t>30 (</w:t>
      </w:r>
      <w:r w:rsidRPr="00C446E1">
        <w:rPr>
          <w:b/>
        </w:rPr>
        <w:t>Rev.WRC-</w:t>
      </w:r>
      <w:r w:rsidR="00C446E1" w:rsidRPr="00C446E1">
        <w:rPr>
          <w:b/>
        </w:rPr>
        <w:t>1</w:t>
      </w:r>
      <w:r w:rsidR="00C446E1">
        <w:rPr>
          <w:b/>
        </w:rPr>
        <w:t>5</w:t>
      </w:r>
      <w:r w:rsidRPr="00C446E1">
        <w:rPr>
          <w:b/>
        </w:rPr>
        <w:t>)</w:t>
      </w:r>
      <w:r w:rsidR="0071081C">
        <w:rPr>
          <w:b/>
        </w:rPr>
        <w:t xml:space="preserve"> </w:t>
      </w:r>
      <w:r w:rsidR="00361369" w:rsidRPr="00377FE4">
        <w:t>in order to</w:t>
      </w:r>
      <w:r w:rsidR="00361369">
        <w:rPr>
          <w:b/>
        </w:rPr>
        <w:t xml:space="preserve"> </w:t>
      </w:r>
      <w:r w:rsidR="00361369" w:rsidRPr="00377FE4">
        <w:t>e</w:t>
      </w:r>
      <w:r w:rsidR="00361369">
        <w:t>q</w:t>
      </w:r>
      <w:r w:rsidR="00361369" w:rsidRPr="00377FE4">
        <w:t>uitable access to orbital resources for broadcasting-satellite-services (BSS)</w:t>
      </w:r>
      <w:r w:rsidRPr="00095148">
        <w:t>.</w:t>
      </w:r>
      <w:r w:rsidR="00A00C37">
        <w:t xml:space="preserve">  </w:t>
      </w:r>
      <w:r w:rsidRPr="00095148">
        <w:t>It should be noted that BSS</w:t>
      </w:r>
      <w:r w:rsidR="00361369">
        <w:t xml:space="preserve"> </w:t>
      </w:r>
      <w:r w:rsidR="00CB092B">
        <w:t xml:space="preserve">is </w:t>
      </w:r>
      <w:r w:rsidRPr="00095148">
        <w:t xml:space="preserve">not subject to Appendix </w:t>
      </w:r>
      <w:r w:rsidRPr="00095148">
        <w:rPr>
          <w:b/>
        </w:rPr>
        <w:t>30</w:t>
      </w:r>
      <w:r w:rsidRPr="00095148">
        <w:t xml:space="preserve"> (12.5-12.7 GHz) in Region 3</w:t>
      </w:r>
      <w:r w:rsidR="00373791">
        <w:t xml:space="preserve"> and </w:t>
      </w:r>
      <w:r w:rsidR="00361369">
        <w:t>therefore</w:t>
      </w:r>
      <w:r w:rsidRPr="00095148">
        <w:t xml:space="preserve"> is not the subject of consideration in accordance with Resolution </w:t>
      </w:r>
      <w:r w:rsidRPr="00095148">
        <w:rPr>
          <w:b/>
          <w:bCs/>
        </w:rPr>
        <w:t>557 (WRC-15)</w:t>
      </w:r>
      <w:r w:rsidRPr="00095148">
        <w:t>.</w:t>
      </w:r>
    </w:p>
    <w:p w14:paraId="16ADC47F" w14:textId="77777777" w:rsidR="00170E28" w:rsidRDefault="00170E28" w:rsidP="000D03BE">
      <w:pPr>
        <w:ind w:left="68"/>
        <w:rPr>
          <w:lang w:val="en-NZ" w:eastAsia="ko-KR"/>
        </w:rPr>
      </w:pPr>
    </w:p>
    <w:p w14:paraId="3332BF6A" w14:textId="33C590D5" w:rsidR="00816E9E" w:rsidRDefault="00170E28" w:rsidP="000D03BE">
      <w:pPr>
        <w:rPr>
          <w:iCs/>
        </w:rPr>
      </w:pPr>
      <w:r w:rsidRPr="00095148">
        <w:rPr>
          <w:iCs/>
        </w:rPr>
        <w:t xml:space="preserve">It should be emphasized that studies calling for revision of Annex 7 to Appendix </w:t>
      </w:r>
      <w:r w:rsidRPr="00095148">
        <w:rPr>
          <w:b/>
          <w:iCs/>
        </w:rPr>
        <w:t xml:space="preserve">30 </w:t>
      </w:r>
      <w:r w:rsidRPr="00C446E1">
        <w:rPr>
          <w:b/>
          <w:iCs/>
        </w:rPr>
        <w:t>Rev.WRC-</w:t>
      </w:r>
      <w:r w:rsidR="00C446E1" w:rsidRPr="00C446E1">
        <w:rPr>
          <w:b/>
          <w:iCs/>
        </w:rPr>
        <w:t>1</w:t>
      </w:r>
      <w:r w:rsidR="00C446E1">
        <w:rPr>
          <w:b/>
          <w:iCs/>
        </w:rPr>
        <w:t>5</w:t>
      </w:r>
      <w:r w:rsidRPr="00095148">
        <w:rPr>
          <w:iCs/>
        </w:rPr>
        <w:t xml:space="preserve">under Resolution </w:t>
      </w:r>
      <w:r w:rsidRPr="00095148">
        <w:rPr>
          <w:b/>
          <w:bCs/>
          <w:iCs/>
        </w:rPr>
        <w:t>557 (WRC-15)</w:t>
      </w:r>
      <w:r w:rsidRPr="00095148">
        <w:rPr>
          <w:iCs/>
        </w:rPr>
        <w:t xml:space="preserve"> in no way was intended to have any impact whatsoever to the integrity of Appendix </w:t>
      </w:r>
      <w:r w:rsidRPr="00095148">
        <w:rPr>
          <w:b/>
          <w:bCs/>
          <w:iCs/>
        </w:rPr>
        <w:t>30</w:t>
      </w:r>
      <w:r w:rsidRPr="00095148">
        <w:rPr>
          <w:iCs/>
        </w:rPr>
        <w:t xml:space="preserve"> for Regions 1 and 3.</w:t>
      </w:r>
    </w:p>
    <w:p w14:paraId="624DAD84" w14:textId="77777777" w:rsidR="00816E9E" w:rsidRDefault="00816E9E" w:rsidP="000D03BE">
      <w:pPr>
        <w:rPr>
          <w:iCs/>
        </w:rPr>
      </w:pPr>
    </w:p>
    <w:p w14:paraId="4691DC25" w14:textId="0CA3C975" w:rsidR="00A60BB7" w:rsidRPr="00A60BB7" w:rsidRDefault="00443B23" w:rsidP="000D03BE">
      <w:r w:rsidRPr="00095148">
        <w:t xml:space="preserve">The Annex 7 to </w:t>
      </w:r>
      <w:r w:rsidR="007A15A2">
        <w:t>Radio Regulation</w:t>
      </w:r>
      <w:r w:rsidR="007A15A2" w:rsidRPr="00095148">
        <w:t xml:space="preserve"> </w:t>
      </w:r>
      <w:r w:rsidRPr="00095148">
        <w:t xml:space="preserve">Appendix </w:t>
      </w:r>
      <w:r w:rsidRPr="00095148">
        <w:rPr>
          <w:b/>
        </w:rPr>
        <w:t>30 (</w:t>
      </w:r>
      <w:r w:rsidRPr="00C446E1">
        <w:rPr>
          <w:b/>
        </w:rPr>
        <w:t>Rev.WRC-1</w:t>
      </w:r>
      <w:r w:rsidR="00C446E1">
        <w:rPr>
          <w:b/>
        </w:rPr>
        <w:t>5</w:t>
      </w:r>
      <w:r w:rsidRPr="00095148">
        <w:rPr>
          <w:b/>
        </w:rPr>
        <w:t>)</w:t>
      </w:r>
      <w:r w:rsidRPr="00095148">
        <w:t xml:space="preserve"> contains several orbital position limitations </w:t>
      </w:r>
      <w:r w:rsidRPr="00095148">
        <w:rPr>
          <w:lang w:eastAsia="zh-CN"/>
        </w:rPr>
        <w:t>for proposed modifications to the Region 2 Plan and for proposed new or modified assignments in the Regions 1 and 3 List</w:t>
      </w:r>
      <w:r w:rsidRPr="00095148">
        <w:t xml:space="preserve"> applicable to specific parts of the band 11.7-12.7 GHz.</w:t>
      </w:r>
      <w:r w:rsidR="00816E9E">
        <w:t xml:space="preserve"> </w:t>
      </w:r>
    </w:p>
    <w:p w14:paraId="2A456184" w14:textId="77777777" w:rsidR="00A60BB7" w:rsidRDefault="00A60BB7" w:rsidP="000D03BE"/>
    <w:p w14:paraId="295F1A2A" w14:textId="6229DA02" w:rsidR="00377FE4" w:rsidRDefault="00C1463C" w:rsidP="000D03BE">
      <w:r w:rsidRPr="00B60CFA">
        <w:rPr>
          <w:lang w:val="en-GB" w:eastAsia="ko-KR"/>
        </w:rPr>
        <w:t xml:space="preserve">ITU-R Working Party </w:t>
      </w:r>
      <w:r w:rsidR="0028433A">
        <w:rPr>
          <w:lang w:val="en-GB" w:eastAsia="ko-KR"/>
        </w:rPr>
        <w:t>4A (WP-</w:t>
      </w:r>
      <w:r w:rsidRPr="00B60CFA">
        <w:rPr>
          <w:lang w:val="en-GB" w:eastAsia="ko-KR"/>
        </w:rPr>
        <w:t>4A</w:t>
      </w:r>
      <w:r w:rsidR="0028433A">
        <w:rPr>
          <w:lang w:val="en-GB" w:eastAsia="ko-KR"/>
        </w:rPr>
        <w:t>)</w:t>
      </w:r>
      <w:r w:rsidRPr="00B60CFA">
        <w:rPr>
          <w:lang w:val="en-GB" w:eastAsia="ko-KR"/>
        </w:rPr>
        <w:t xml:space="preserve"> </w:t>
      </w:r>
      <w:r>
        <w:rPr>
          <w:lang w:val="en-GB" w:eastAsia="ko-KR"/>
        </w:rPr>
        <w:t xml:space="preserve">has been </w:t>
      </w:r>
      <w:r w:rsidRPr="00B60CFA">
        <w:rPr>
          <w:lang w:val="en-GB" w:eastAsia="ko-KR"/>
        </w:rPr>
        <w:t xml:space="preserve">assigned </w:t>
      </w:r>
      <w:r>
        <w:rPr>
          <w:lang w:val="en-GB" w:eastAsia="ko-KR"/>
        </w:rPr>
        <w:t>as</w:t>
      </w:r>
      <w:r w:rsidRPr="00B60CFA">
        <w:rPr>
          <w:lang w:val="en-GB" w:eastAsia="ko-KR"/>
        </w:rPr>
        <w:t xml:space="preserve"> the responsible group for this Agenda Item.</w:t>
      </w:r>
      <w:r w:rsidRPr="00B60CFA">
        <w:t xml:space="preserve"> To date, ITU-R WP 4A has had three meetings since WRC-15 to progress the work of WRC-19 Agenda Item 1.</w:t>
      </w:r>
      <w:r w:rsidRPr="00B60CFA">
        <w:rPr>
          <w:lang w:eastAsia="ko-KR"/>
        </w:rPr>
        <w:t>4</w:t>
      </w:r>
      <w:r w:rsidRPr="00B60CFA">
        <w:t xml:space="preserve">. Detailed </w:t>
      </w:r>
      <w:r>
        <w:t xml:space="preserve">of </w:t>
      </w:r>
      <w:proofErr w:type="spellStart"/>
      <w:r>
        <w:t>on going</w:t>
      </w:r>
      <w:proofErr w:type="spellEnd"/>
      <w:r>
        <w:t xml:space="preserve"> </w:t>
      </w:r>
      <w:r w:rsidRPr="00B60CFA">
        <w:t>analysis of each study could be fou</w:t>
      </w:r>
      <w:r w:rsidR="006D3852">
        <w:t>nd in the w</w:t>
      </w:r>
      <w:r w:rsidRPr="00B60CFA">
        <w:t>orking document towards a preliminary draft n</w:t>
      </w:r>
      <w:r>
        <w:t>ew Report of ITU-R BO</w:t>
      </w:r>
      <w:r w:rsidR="00507352">
        <w:t xml:space="preserve"> [AP30. </w:t>
      </w:r>
      <w:r>
        <w:t xml:space="preserve">Annex </w:t>
      </w:r>
      <w:r w:rsidR="00507352">
        <w:t xml:space="preserve">7].  </w:t>
      </w:r>
      <w:r>
        <w:t xml:space="preserve">ITU-R </w:t>
      </w:r>
      <w:r>
        <w:rPr>
          <w:lang w:val="en-AU"/>
        </w:rPr>
        <w:t xml:space="preserve">WP-4A </w:t>
      </w:r>
      <w:r w:rsidR="00FA00C3">
        <w:rPr>
          <w:lang w:val="en-AU"/>
        </w:rPr>
        <w:t xml:space="preserve">summarized </w:t>
      </w:r>
      <w:r w:rsidR="00780642">
        <w:rPr>
          <w:lang w:val="en-AU"/>
        </w:rPr>
        <w:t xml:space="preserve">the limitations in </w:t>
      </w:r>
      <w:r w:rsidR="00507352">
        <w:rPr>
          <w:lang w:val="en-AU"/>
        </w:rPr>
        <w:t xml:space="preserve">Annex 7 to Appendix </w:t>
      </w:r>
      <w:r w:rsidR="00507352" w:rsidRPr="00377FE4">
        <w:rPr>
          <w:b/>
          <w:lang w:val="en-AU"/>
        </w:rPr>
        <w:t>30</w:t>
      </w:r>
      <w:r w:rsidR="00507352">
        <w:rPr>
          <w:lang w:val="en-AU"/>
        </w:rPr>
        <w:t xml:space="preserve"> </w:t>
      </w:r>
      <w:r w:rsidR="00C446E1">
        <w:rPr>
          <w:lang w:val="en-AU"/>
        </w:rPr>
        <w:t>(</w:t>
      </w:r>
      <w:r w:rsidR="00C446E1" w:rsidRPr="00377FE4">
        <w:rPr>
          <w:b/>
          <w:lang w:val="en-AU"/>
        </w:rPr>
        <w:t>Rev. WRC-15</w:t>
      </w:r>
      <w:r w:rsidR="00C446E1">
        <w:rPr>
          <w:lang w:val="en-AU"/>
        </w:rPr>
        <w:t xml:space="preserve">) </w:t>
      </w:r>
      <w:r>
        <w:rPr>
          <w:lang w:val="en-AU"/>
        </w:rPr>
        <w:t xml:space="preserve">as presented in Table </w:t>
      </w:r>
      <w:r w:rsidRPr="00095148">
        <w:t>3/1.4/1-1</w:t>
      </w:r>
      <w:r>
        <w:t xml:space="preserve"> in the Document 4A/364-E/Annex 30.</w:t>
      </w:r>
    </w:p>
    <w:p w14:paraId="3AE1EB34" w14:textId="77777777" w:rsidR="00DC1C92" w:rsidRPr="00290840" w:rsidRDefault="00DC1C92" w:rsidP="00DC1C92">
      <w:pPr>
        <w:rPr>
          <w:sz w:val="16"/>
          <w:szCs w:val="16"/>
          <w:lang w:val="en-NZ" w:eastAsia="ko-KR"/>
        </w:rPr>
      </w:pPr>
    </w:p>
    <w:p w14:paraId="2E0E6752" w14:textId="77777777" w:rsidR="00B64A60" w:rsidRPr="00710333" w:rsidRDefault="00B64A60" w:rsidP="000D03BE">
      <w:pPr>
        <w:jc w:val="both"/>
        <w:rPr>
          <w:b/>
          <w:lang w:val="en-NZ" w:eastAsia="ko-KR"/>
        </w:rPr>
      </w:pPr>
      <w:r w:rsidRPr="00710333">
        <w:rPr>
          <w:b/>
          <w:lang w:val="en-NZ" w:eastAsia="ko-KR"/>
        </w:rPr>
        <w:t xml:space="preserve">2. </w:t>
      </w:r>
      <w:r>
        <w:rPr>
          <w:b/>
          <w:lang w:val="en-NZ" w:eastAsia="ko-KR"/>
        </w:rPr>
        <w:tab/>
      </w:r>
      <w:r w:rsidRPr="00710333">
        <w:rPr>
          <w:b/>
          <w:lang w:val="en-NZ" w:eastAsia="ko-KR"/>
        </w:rPr>
        <w:t>Documents</w:t>
      </w:r>
    </w:p>
    <w:p w14:paraId="7E503115" w14:textId="77777777" w:rsidR="00B00FD8" w:rsidRPr="00290840" w:rsidRDefault="00B00FD8" w:rsidP="000D03BE">
      <w:pPr>
        <w:rPr>
          <w:sz w:val="16"/>
          <w:szCs w:val="16"/>
          <w:lang w:val="en-NZ"/>
        </w:rPr>
      </w:pPr>
    </w:p>
    <w:tbl>
      <w:tblPr>
        <w:tblStyle w:val="TableGrid"/>
        <w:tblW w:w="8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5490"/>
      </w:tblGrid>
      <w:tr w:rsidR="00F947BD" w14:paraId="232B7B03" w14:textId="77777777" w:rsidTr="00290840">
        <w:tc>
          <w:tcPr>
            <w:tcW w:w="2880" w:type="dxa"/>
          </w:tcPr>
          <w:p w14:paraId="36CCF41C" w14:textId="77777777" w:rsidR="00F947BD" w:rsidRDefault="00F947BD" w:rsidP="000D03BE">
            <w:pPr>
              <w:rPr>
                <w:lang w:val="en-NZ"/>
              </w:rPr>
            </w:pPr>
            <w:r>
              <w:rPr>
                <w:lang w:val="en-NZ"/>
              </w:rPr>
              <w:t>Input Documents:</w:t>
            </w:r>
          </w:p>
          <w:p w14:paraId="16F4EF1F" w14:textId="7984D87E" w:rsidR="00A60BB7" w:rsidRPr="00A60BB7" w:rsidRDefault="00163841" w:rsidP="000D03BE">
            <w:pPr>
              <w:pStyle w:val="ListParagraph"/>
              <w:numPr>
                <w:ilvl w:val="0"/>
                <w:numId w:val="24"/>
              </w:numPr>
              <w:rPr>
                <w:lang w:val="en-NZ"/>
              </w:rPr>
            </w:pPr>
            <w:proofErr w:type="spellStart"/>
            <w:r>
              <w:rPr>
                <w:lang w:val="en-NZ"/>
              </w:rPr>
              <w:t>Republlic</w:t>
            </w:r>
            <w:proofErr w:type="spellEnd"/>
            <w:r>
              <w:rPr>
                <w:lang w:val="en-NZ"/>
              </w:rPr>
              <w:t xml:space="preserve"> of </w:t>
            </w:r>
            <w:r w:rsidR="00A60BB7" w:rsidRPr="00A60BB7">
              <w:rPr>
                <w:lang w:val="en-NZ"/>
              </w:rPr>
              <w:t>Korea</w:t>
            </w:r>
          </w:p>
          <w:p w14:paraId="72ADAC35" w14:textId="424B7232" w:rsidR="00A60BB7" w:rsidRPr="00A60BB7" w:rsidRDefault="00A60BB7" w:rsidP="000D03BE">
            <w:pPr>
              <w:pStyle w:val="ListParagraph"/>
              <w:numPr>
                <w:ilvl w:val="0"/>
                <w:numId w:val="24"/>
              </w:numPr>
              <w:rPr>
                <w:lang w:val="en-NZ"/>
              </w:rPr>
            </w:pPr>
            <w:r>
              <w:rPr>
                <w:lang w:val="en-NZ"/>
              </w:rPr>
              <w:t>Australia</w:t>
            </w:r>
          </w:p>
        </w:tc>
        <w:tc>
          <w:tcPr>
            <w:tcW w:w="5490" w:type="dxa"/>
          </w:tcPr>
          <w:p w14:paraId="12392F01" w14:textId="77777777" w:rsidR="00A60BB7" w:rsidRDefault="00A60BB7" w:rsidP="000D03BE">
            <w:pPr>
              <w:rPr>
                <w:lang w:val="en-NZ"/>
              </w:rPr>
            </w:pPr>
          </w:p>
          <w:p w14:paraId="0C0797FD" w14:textId="77777777" w:rsidR="00A60BB7" w:rsidRDefault="00F947BD" w:rsidP="000D03BE">
            <w:pPr>
              <w:rPr>
                <w:lang w:val="en-NZ"/>
              </w:rPr>
            </w:pPr>
            <w:r w:rsidRPr="00424FF7">
              <w:rPr>
                <w:lang w:val="en-NZ"/>
              </w:rPr>
              <w:t>APG19-</w:t>
            </w:r>
            <w:r>
              <w:rPr>
                <w:lang w:val="en-NZ"/>
              </w:rPr>
              <w:t>2</w:t>
            </w:r>
            <w:r w:rsidR="00A60BB7">
              <w:rPr>
                <w:lang w:val="en-NZ"/>
              </w:rPr>
              <w:t>-</w:t>
            </w:r>
            <w:r w:rsidRPr="00424FF7">
              <w:rPr>
                <w:lang w:val="en-NZ"/>
              </w:rPr>
              <w:t>INP-</w:t>
            </w:r>
            <w:r w:rsidR="00A60BB7">
              <w:rPr>
                <w:lang w:val="en-NZ"/>
              </w:rPr>
              <w:t>10</w:t>
            </w:r>
          </w:p>
          <w:p w14:paraId="07B558F0" w14:textId="65D0F174" w:rsidR="00F947BD" w:rsidRDefault="00A60BB7" w:rsidP="000D03BE">
            <w:pPr>
              <w:rPr>
                <w:lang w:val="en-NZ"/>
              </w:rPr>
            </w:pPr>
            <w:r>
              <w:rPr>
                <w:lang w:val="en-NZ"/>
              </w:rPr>
              <w:t>APG19-2</w:t>
            </w:r>
            <w:r w:rsidR="00F947BD">
              <w:rPr>
                <w:lang w:val="en-NZ"/>
              </w:rPr>
              <w:t>-</w:t>
            </w:r>
            <w:r w:rsidR="004D00AD">
              <w:rPr>
                <w:lang w:val="en-NZ"/>
              </w:rPr>
              <w:t>INP-</w:t>
            </w:r>
            <w:r w:rsidR="00F947BD">
              <w:rPr>
                <w:lang w:val="en-NZ"/>
              </w:rPr>
              <w:t>30</w:t>
            </w:r>
          </w:p>
          <w:p w14:paraId="0BB468F7" w14:textId="6C7D1E01" w:rsidR="00623EE1" w:rsidRPr="00A670B2" w:rsidRDefault="00623EE1" w:rsidP="000D03BE">
            <w:pPr>
              <w:rPr>
                <w:sz w:val="16"/>
                <w:szCs w:val="16"/>
                <w:lang w:val="en-NZ"/>
              </w:rPr>
            </w:pPr>
          </w:p>
        </w:tc>
      </w:tr>
      <w:tr w:rsidR="00760403" w14:paraId="701B98D2" w14:textId="77777777" w:rsidTr="00290840">
        <w:tc>
          <w:tcPr>
            <w:tcW w:w="2880" w:type="dxa"/>
          </w:tcPr>
          <w:p w14:paraId="6368C2E6" w14:textId="77777777" w:rsidR="00F947BD" w:rsidRDefault="00F947BD" w:rsidP="000D03BE">
            <w:pPr>
              <w:rPr>
                <w:lang w:val="en-NZ"/>
              </w:rPr>
            </w:pPr>
            <w:r w:rsidRPr="00D764B3">
              <w:rPr>
                <w:lang w:val="en-NZ"/>
              </w:rPr>
              <w:t>Information Documents</w:t>
            </w:r>
            <w:r>
              <w:rPr>
                <w:lang w:val="en-NZ"/>
              </w:rPr>
              <w:t>:</w:t>
            </w:r>
          </w:p>
          <w:p w14:paraId="67F632B8" w14:textId="6B04B999" w:rsidR="00A60BB7" w:rsidRPr="00085AFA" w:rsidRDefault="00085AFA" w:rsidP="000D03BE">
            <w:pPr>
              <w:pStyle w:val="ListParagraph"/>
              <w:numPr>
                <w:ilvl w:val="0"/>
                <w:numId w:val="25"/>
              </w:numPr>
              <w:rPr>
                <w:lang w:val="en-NZ"/>
              </w:rPr>
            </w:pPr>
            <w:r w:rsidRPr="00085AFA">
              <w:rPr>
                <w:lang w:val="en-NZ"/>
              </w:rPr>
              <w:t>ASMG</w:t>
            </w:r>
          </w:p>
          <w:p w14:paraId="49604DD4" w14:textId="77777777" w:rsidR="00085AFA" w:rsidRDefault="00085AFA" w:rsidP="000D03BE">
            <w:pPr>
              <w:pStyle w:val="ListParagraph"/>
              <w:numPr>
                <w:ilvl w:val="0"/>
                <w:numId w:val="25"/>
              </w:numPr>
              <w:rPr>
                <w:lang w:val="en-NZ"/>
              </w:rPr>
            </w:pPr>
            <w:r>
              <w:rPr>
                <w:lang w:val="en-NZ"/>
              </w:rPr>
              <w:lastRenderedPageBreak/>
              <w:t>CITEL</w:t>
            </w:r>
          </w:p>
          <w:p w14:paraId="21FC5A89" w14:textId="77777777" w:rsidR="00085AFA" w:rsidRDefault="00085AFA" w:rsidP="000D03BE">
            <w:pPr>
              <w:pStyle w:val="ListParagraph"/>
              <w:numPr>
                <w:ilvl w:val="0"/>
                <w:numId w:val="25"/>
              </w:numPr>
              <w:rPr>
                <w:lang w:val="en-NZ"/>
              </w:rPr>
            </w:pPr>
            <w:r>
              <w:rPr>
                <w:lang w:val="en-NZ"/>
              </w:rPr>
              <w:t>ATU</w:t>
            </w:r>
          </w:p>
          <w:p w14:paraId="54D52422" w14:textId="692A0273" w:rsidR="00085AFA" w:rsidRPr="00085AFA" w:rsidRDefault="00085AFA" w:rsidP="000D03BE">
            <w:pPr>
              <w:pStyle w:val="ListParagraph"/>
              <w:numPr>
                <w:ilvl w:val="0"/>
                <w:numId w:val="25"/>
              </w:numPr>
              <w:rPr>
                <w:lang w:val="en-NZ"/>
              </w:rPr>
            </w:pPr>
            <w:r>
              <w:rPr>
                <w:lang w:val="en-NZ"/>
              </w:rPr>
              <w:t>CEPT</w:t>
            </w:r>
          </w:p>
        </w:tc>
        <w:tc>
          <w:tcPr>
            <w:tcW w:w="5490" w:type="dxa"/>
          </w:tcPr>
          <w:p w14:paraId="3930900E" w14:textId="77777777" w:rsidR="00A60BB7" w:rsidRDefault="00A60BB7" w:rsidP="000D03BE">
            <w:pPr>
              <w:rPr>
                <w:lang w:val="en-NZ"/>
              </w:rPr>
            </w:pPr>
          </w:p>
          <w:p w14:paraId="67D51D72" w14:textId="77777777" w:rsidR="00085AFA" w:rsidRDefault="00F947BD" w:rsidP="000D03BE">
            <w:pPr>
              <w:rPr>
                <w:lang w:val="en-NZ"/>
              </w:rPr>
            </w:pPr>
            <w:r w:rsidRPr="00424FF7">
              <w:rPr>
                <w:lang w:val="en-NZ"/>
              </w:rPr>
              <w:t>APG19-</w:t>
            </w:r>
            <w:r>
              <w:rPr>
                <w:lang w:val="en-NZ"/>
              </w:rPr>
              <w:t>2</w:t>
            </w:r>
            <w:r w:rsidR="00085AFA">
              <w:rPr>
                <w:lang w:val="en-NZ"/>
              </w:rPr>
              <w:t>-</w:t>
            </w:r>
            <w:r w:rsidRPr="00424FF7">
              <w:rPr>
                <w:lang w:val="en-NZ"/>
              </w:rPr>
              <w:t>IN</w:t>
            </w:r>
            <w:r>
              <w:rPr>
                <w:lang w:val="en-NZ"/>
              </w:rPr>
              <w:t>F</w:t>
            </w:r>
            <w:r w:rsidRPr="00424FF7">
              <w:rPr>
                <w:lang w:val="en-NZ"/>
              </w:rPr>
              <w:t>-</w:t>
            </w:r>
            <w:r>
              <w:rPr>
                <w:lang w:val="en-NZ"/>
              </w:rPr>
              <w:t>1</w:t>
            </w:r>
          </w:p>
          <w:p w14:paraId="7001C55D" w14:textId="2EF6B3E6" w:rsidR="00085AFA" w:rsidRDefault="00085AFA" w:rsidP="000D03BE">
            <w:pPr>
              <w:rPr>
                <w:lang w:val="en-NZ"/>
              </w:rPr>
            </w:pPr>
            <w:r w:rsidRPr="00424FF7">
              <w:rPr>
                <w:lang w:val="en-NZ"/>
              </w:rPr>
              <w:lastRenderedPageBreak/>
              <w:t>APG19-</w:t>
            </w:r>
            <w:r>
              <w:rPr>
                <w:lang w:val="en-NZ"/>
              </w:rPr>
              <w:t>2-</w:t>
            </w:r>
            <w:r w:rsidRPr="00424FF7">
              <w:rPr>
                <w:lang w:val="en-NZ"/>
              </w:rPr>
              <w:t>IN</w:t>
            </w:r>
            <w:r>
              <w:rPr>
                <w:lang w:val="en-NZ"/>
              </w:rPr>
              <w:t>F</w:t>
            </w:r>
            <w:r w:rsidRPr="00424FF7">
              <w:rPr>
                <w:lang w:val="en-NZ"/>
              </w:rPr>
              <w:t>-</w:t>
            </w:r>
            <w:r>
              <w:rPr>
                <w:lang w:val="en-NZ"/>
              </w:rPr>
              <w:t>4</w:t>
            </w:r>
          </w:p>
          <w:p w14:paraId="5C167D20" w14:textId="3C18E455" w:rsidR="00085AFA" w:rsidRDefault="00085AFA" w:rsidP="000D03BE">
            <w:pPr>
              <w:rPr>
                <w:lang w:val="en-NZ"/>
              </w:rPr>
            </w:pPr>
            <w:r w:rsidRPr="00424FF7">
              <w:rPr>
                <w:lang w:val="en-NZ"/>
              </w:rPr>
              <w:t>APG19-</w:t>
            </w:r>
            <w:r>
              <w:rPr>
                <w:lang w:val="en-NZ"/>
              </w:rPr>
              <w:t>2-</w:t>
            </w:r>
            <w:r w:rsidRPr="00424FF7">
              <w:rPr>
                <w:lang w:val="en-NZ"/>
              </w:rPr>
              <w:t>IN</w:t>
            </w:r>
            <w:r>
              <w:rPr>
                <w:lang w:val="en-NZ"/>
              </w:rPr>
              <w:t>F</w:t>
            </w:r>
            <w:r w:rsidRPr="00424FF7">
              <w:rPr>
                <w:lang w:val="en-NZ"/>
              </w:rPr>
              <w:t>-</w:t>
            </w:r>
            <w:r>
              <w:rPr>
                <w:lang w:val="en-NZ"/>
              </w:rPr>
              <w:t>7</w:t>
            </w:r>
          </w:p>
          <w:p w14:paraId="0FD817F4" w14:textId="74CB18DA" w:rsidR="00F947BD" w:rsidRPr="00424FF7" w:rsidRDefault="00085AFA" w:rsidP="000D03BE">
            <w:pPr>
              <w:rPr>
                <w:lang w:val="en-NZ"/>
              </w:rPr>
            </w:pPr>
            <w:r w:rsidRPr="00424FF7">
              <w:rPr>
                <w:lang w:val="en-NZ"/>
              </w:rPr>
              <w:t>APG19-</w:t>
            </w:r>
            <w:r>
              <w:rPr>
                <w:lang w:val="en-NZ"/>
              </w:rPr>
              <w:t>2-</w:t>
            </w:r>
            <w:r w:rsidRPr="00424FF7">
              <w:rPr>
                <w:lang w:val="en-NZ"/>
              </w:rPr>
              <w:t>IN</w:t>
            </w:r>
            <w:r>
              <w:rPr>
                <w:lang w:val="en-NZ"/>
              </w:rPr>
              <w:t>F</w:t>
            </w:r>
            <w:r w:rsidRPr="00424FF7">
              <w:rPr>
                <w:lang w:val="en-NZ"/>
              </w:rPr>
              <w:t>-</w:t>
            </w:r>
            <w:r>
              <w:rPr>
                <w:lang w:val="en-NZ"/>
              </w:rPr>
              <w:t>14</w:t>
            </w:r>
          </w:p>
        </w:tc>
      </w:tr>
    </w:tbl>
    <w:p w14:paraId="1026F7C7" w14:textId="77777777" w:rsidR="00A500E1" w:rsidRDefault="00A500E1" w:rsidP="000D03BE">
      <w:pPr>
        <w:jc w:val="both"/>
        <w:rPr>
          <w:b/>
          <w:lang w:val="en-NZ" w:eastAsia="ko-KR"/>
        </w:rPr>
      </w:pPr>
    </w:p>
    <w:p w14:paraId="2E0E6757" w14:textId="77777777" w:rsidR="00B64A60" w:rsidRDefault="00B64A60" w:rsidP="000D03BE">
      <w:pPr>
        <w:jc w:val="both"/>
        <w:rPr>
          <w:b/>
          <w:lang w:val="en-NZ" w:eastAsia="ko-KR"/>
        </w:rPr>
      </w:pPr>
      <w:r>
        <w:rPr>
          <w:b/>
          <w:lang w:val="en-NZ" w:eastAsia="ko-KR"/>
        </w:rPr>
        <w:t xml:space="preserve">3. </w:t>
      </w:r>
      <w:r>
        <w:rPr>
          <w:b/>
          <w:lang w:val="en-NZ" w:eastAsia="ko-KR"/>
        </w:rPr>
        <w:tab/>
        <w:t>Summary of Discussions</w:t>
      </w:r>
    </w:p>
    <w:p w14:paraId="79A914FF" w14:textId="77777777" w:rsidR="00CD480E" w:rsidRPr="00D21266" w:rsidRDefault="00CD480E" w:rsidP="000D03BE">
      <w:pPr>
        <w:jc w:val="both"/>
        <w:rPr>
          <w:b/>
          <w:sz w:val="16"/>
          <w:szCs w:val="16"/>
          <w:lang w:val="en-NZ" w:eastAsia="ko-KR"/>
        </w:rPr>
      </w:pPr>
    </w:p>
    <w:p w14:paraId="304F9937" w14:textId="31EFCC4C" w:rsidR="004A2F96" w:rsidRDefault="004A2F96" w:rsidP="000D03BE">
      <w:pPr>
        <w:jc w:val="both"/>
        <w:rPr>
          <w:b/>
          <w:lang w:val="en-NZ" w:eastAsia="ko-KR"/>
        </w:rPr>
      </w:pPr>
      <w:r>
        <w:rPr>
          <w:b/>
          <w:lang w:val="en-NZ" w:eastAsia="ko-KR"/>
        </w:rPr>
        <w:t>3.1</w:t>
      </w:r>
      <w:r>
        <w:rPr>
          <w:b/>
          <w:lang w:val="en-NZ" w:eastAsia="ko-KR"/>
        </w:rPr>
        <w:tab/>
        <w:t xml:space="preserve"> S</w:t>
      </w:r>
      <w:r>
        <w:rPr>
          <w:rFonts w:hint="eastAsia"/>
          <w:b/>
          <w:lang w:val="en-NZ" w:eastAsia="ko-KR"/>
        </w:rPr>
        <w:t xml:space="preserve">ummary </w:t>
      </w:r>
      <w:r>
        <w:rPr>
          <w:b/>
          <w:lang w:val="en-NZ" w:eastAsia="ko-KR"/>
        </w:rPr>
        <w:t>of Members’ view</w:t>
      </w:r>
    </w:p>
    <w:p w14:paraId="6C5542EC" w14:textId="77777777" w:rsidR="00CD480E" w:rsidRPr="00D21266" w:rsidRDefault="00CD480E" w:rsidP="000D03BE">
      <w:pPr>
        <w:jc w:val="both"/>
        <w:rPr>
          <w:b/>
          <w:sz w:val="16"/>
          <w:szCs w:val="16"/>
          <w:lang w:val="en-NZ" w:eastAsia="ko-KR"/>
        </w:rPr>
      </w:pPr>
    </w:p>
    <w:p w14:paraId="4EF7E22D" w14:textId="3B6CD5F2" w:rsidR="00A00C37" w:rsidRDefault="00A00C37" w:rsidP="000D03BE">
      <w:pPr>
        <w:jc w:val="both"/>
        <w:rPr>
          <w:b/>
          <w:lang w:val="en-NZ" w:eastAsia="ko-KR"/>
        </w:rPr>
      </w:pPr>
      <w:r>
        <w:rPr>
          <w:b/>
          <w:lang w:val="en-NZ" w:eastAsia="ko-KR"/>
        </w:rPr>
        <w:t>3.1.1 Australia</w:t>
      </w:r>
    </w:p>
    <w:p w14:paraId="6A153BA7" w14:textId="77777777" w:rsidR="00F048B3" w:rsidRPr="00D21266" w:rsidRDefault="00F048B3" w:rsidP="000D03BE">
      <w:pPr>
        <w:ind w:left="720"/>
        <w:jc w:val="both"/>
        <w:rPr>
          <w:b/>
          <w:sz w:val="16"/>
          <w:szCs w:val="16"/>
          <w:lang w:val="en-NZ" w:eastAsia="ko-KR"/>
        </w:rPr>
      </w:pPr>
    </w:p>
    <w:p w14:paraId="10E394C7" w14:textId="7D68E02B" w:rsidR="00F048B3" w:rsidRDefault="00F048B3" w:rsidP="000D03BE">
      <w:r w:rsidRPr="009B011E">
        <w:t xml:space="preserve">Australia is receptive to possible revision of the limitations of Annex 7 of Radio Regulations Appendix </w:t>
      </w:r>
      <w:r w:rsidRPr="002C3D97">
        <w:rPr>
          <w:b/>
        </w:rPr>
        <w:t>30</w:t>
      </w:r>
      <w:r w:rsidRPr="009B011E">
        <w:t>, provided such revisions are supported by rigorous study and do not significantly impact on Australia’s current and future FSS/BSS usage in the 11.7-12.75 GHz frequency band.</w:t>
      </w:r>
    </w:p>
    <w:p w14:paraId="77B0F060" w14:textId="77777777" w:rsidR="00F06066" w:rsidRPr="00F048B3" w:rsidRDefault="00F06066" w:rsidP="000D03BE"/>
    <w:p w14:paraId="76E22F90" w14:textId="699AFA65" w:rsidR="004A2F96" w:rsidRDefault="004A2F96" w:rsidP="000D03BE">
      <w:pPr>
        <w:jc w:val="both"/>
        <w:rPr>
          <w:b/>
          <w:lang w:val="en-NZ" w:eastAsia="ko-KR"/>
        </w:rPr>
      </w:pPr>
      <w:r>
        <w:rPr>
          <w:b/>
          <w:lang w:val="en-NZ" w:eastAsia="ko-KR"/>
        </w:rPr>
        <w:t xml:space="preserve">3.1.2 </w:t>
      </w:r>
      <w:r w:rsidR="00163841">
        <w:rPr>
          <w:b/>
          <w:lang w:val="en-NZ" w:eastAsia="ko-KR"/>
        </w:rPr>
        <w:t xml:space="preserve">Republic of </w:t>
      </w:r>
      <w:r w:rsidR="00A00C37">
        <w:rPr>
          <w:b/>
          <w:lang w:val="en-NZ" w:eastAsia="ko-KR"/>
        </w:rPr>
        <w:t>Korea</w:t>
      </w:r>
    </w:p>
    <w:p w14:paraId="5A02995F" w14:textId="77777777" w:rsidR="00F06066" w:rsidRPr="00D21266" w:rsidRDefault="00F06066" w:rsidP="000D03BE">
      <w:pPr>
        <w:jc w:val="both"/>
        <w:rPr>
          <w:b/>
          <w:sz w:val="16"/>
          <w:szCs w:val="16"/>
          <w:lang w:val="en-NZ" w:eastAsia="ko-KR"/>
        </w:rPr>
      </w:pPr>
    </w:p>
    <w:p w14:paraId="0CCFC42A" w14:textId="77777777" w:rsidR="00F048B3" w:rsidRDefault="00F048B3" w:rsidP="000D03BE">
      <w:pPr>
        <w:jc w:val="both"/>
        <w:rPr>
          <w:iCs/>
          <w:lang w:eastAsia="ko-KR"/>
        </w:rPr>
      </w:pPr>
      <w:r w:rsidRPr="00F048B3">
        <w:rPr>
          <w:lang w:eastAsia="ko-KR"/>
        </w:rPr>
        <w:t>T</w:t>
      </w:r>
      <w:r w:rsidRPr="00F048B3">
        <w:t xml:space="preserve">he Republic of Korea has a view that the </w:t>
      </w:r>
      <w:r w:rsidRPr="00F048B3">
        <w:rPr>
          <w:iCs/>
        </w:rPr>
        <w:t xml:space="preserve">revision of Annex 7 to </w:t>
      </w:r>
      <w:r w:rsidRPr="00BA6B02">
        <w:rPr>
          <w:b/>
          <w:iCs/>
        </w:rPr>
        <w:t xml:space="preserve">RR </w:t>
      </w:r>
      <w:r w:rsidRPr="00F048B3">
        <w:rPr>
          <w:iCs/>
        </w:rPr>
        <w:t xml:space="preserve">Appendix </w:t>
      </w:r>
      <w:r w:rsidRPr="00F048B3">
        <w:rPr>
          <w:b/>
          <w:iCs/>
        </w:rPr>
        <w:t xml:space="preserve">30 (Rev.WRC-15) </w:t>
      </w:r>
      <w:r w:rsidRPr="00F048B3">
        <w:rPr>
          <w:iCs/>
        </w:rPr>
        <w:t xml:space="preserve">under Resolution </w:t>
      </w:r>
      <w:r w:rsidRPr="00F048B3">
        <w:rPr>
          <w:b/>
          <w:bCs/>
          <w:iCs/>
        </w:rPr>
        <w:t>557 (WRC-15)</w:t>
      </w:r>
      <w:r w:rsidRPr="00F048B3">
        <w:rPr>
          <w:iCs/>
        </w:rPr>
        <w:t xml:space="preserve"> </w:t>
      </w:r>
      <w:r w:rsidRPr="00F048B3">
        <w:rPr>
          <w:iCs/>
          <w:lang w:eastAsia="ko-KR"/>
        </w:rPr>
        <w:t xml:space="preserve">should not impose any undue constraints on all assignments </w:t>
      </w:r>
      <w:r w:rsidRPr="00F048B3">
        <w:rPr>
          <w:iCs/>
        </w:rPr>
        <w:t xml:space="preserve">for Appendix </w:t>
      </w:r>
      <w:r w:rsidRPr="00F048B3">
        <w:rPr>
          <w:b/>
          <w:bCs/>
          <w:iCs/>
        </w:rPr>
        <w:t>30</w:t>
      </w:r>
      <w:r w:rsidRPr="00F048B3">
        <w:rPr>
          <w:iCs/>
        </w:rPr>
        <w:t xml:space="preserve"> for Region 3</w:t>
      </w:r>
      <w:r w:rsidRPr="00F048B3">
        <w:rPr>
          <w:rFonts w:hint="eastAsia"/>
          <w:iCs/>
          <w:lang w:eastAsia="ko-KR"/>
        </w:rPr>
        <w:t>.</w:t>
      </w:r>
    </w:p>
    <w:p w14:paraId="30C2AD26" w14:textId="77777777" w:rsidR="00F06066" w:rsidRDefault="00F06066" w:rsidP="000D03BE">
      <w:pPr>
        <w:jc w:val="both"/>
        <w:rPr>
          <w:b/>
          <w:lang w:val="en-NZ"/>
        </w:rPr>
      </w:pPr>
    </w:p>
    <w:p w14:paraId="7E81F481" w14:textId="725FCE4B" w:rsidR="008454C8" w:rsidRDefault="008454C8" w:rsidP="000D03BE">
      <w:pPr>
        <w:jc w:val="both"/>
        <w:rPr>
          <w:b/>
          <w:lang w:val="en-NZ"/>
        </w:rPr>
      </w:pPr>
      <w:r w:rsidRPr="00197C18">
        <w:rPr>
          <w:b/>
          <w:lang w:val="en-NZ"/>
        </w:rPr>
        <w:t xml:space="preserve">3.2 </w:t>
      </w:r>
      <w:r w:rsidRPr="00197C18">
        <w:rPr>
          <w:b/>
          <w:lang w:val="en-NZ"/>
        </w:rPr>
        <w:tab/>
      </w:r>
      <w:r w:rsidRPr="00197C18">
        <w:rPr>
          <w:b/>
          <w:lang w:val="en-NZ" w:eastAsia="ko-KR"/>
        </w:rPr>
        <w:t>Key</w:t>
      </w:r>
      <w:r w:rsidRPr="00197C18">
        <w:rPr>
          <w:b/>
          <w:lang w:val="en-NZ"/>
        </w:rPr>
        <w:t xml:space="preserve"> </w:t>
      </w:r>
      <w:r w:rsidRPr="00197C18">
        <w:rPr>
          <w:b/>
          <w:lang w:val="en-NZ" w:eastAsia="ko-KR"/>
        </w:rPr>
        <w:t>points</w:t>
      </w:r>
      <w:r w:rsidRPr="00197C18">
        <w:rPr>
          <w:b/>
          <w:lang w:val="en-NZ"/>
        </w:rPr>
        <w:t xml:space="preserve"> raised during the meeting</w:t>
      </w:r>
    </w:p>
    <w:p w14:paraId="122CF515" w14:textId="77777777" w:rsidR="002E6986" w:rsidRPr="00D21266" w:rsidRDefault="002E6986" w:rsidP="000D03BE">
      <w:pPr>
        <w:jc w:val="both"/>
        <w:rPr>
          <w:b/>
          <w:sz w:val="16"/>
          <w:szCs w:val="16"/>
          <w:lang w:val="en-NZ"/>
        </w:rPr>
      </w:pPr>
    </w:p>
    <w:p w14:paraId="2E0E6758" w14:textId="21D6E2AA" w:rsidR="00036CC9" w:rsidRDefault="00C11EC3" w:rsidP="000D03BE">
      <w:pPr>
        <w:rPr>
          <w:lang w:val="en-NZ"/>
        </w:rPr>
      </w:pPr>
      <w:r>
        <w:rPr>
          <w:lang w:val="en-NZ"/>
        </w:rPr>
        <w:t xml:space="preserve">None. </w:t>
      </w:r>
    </w:p>
    <w:p w14:paraId="2E0E675A" w14:textId="77777777" w:rsidR="00585F3C" w:rsidRDefault="00585F3C" w:rsidP="00D21266">
      <w:pPr>
        <w:jc w:val="both"/>
        <w:rPr>
          <w:lang w:val="en-NZ"/>
        </w:rPr>
      </w:pPr>
    </w:p>
    <w:p w14:paraId="2E0E675B" w14:textId="46368A45" w:rsidR="00B64A60" w:rsidRDefault="00B64A60" w:rsidP="000D03BE">
      <w:pPr>
        <w:jc w:val="both"/>
        <w:rPr>
          <w:b/>
          <w:lang w:val="en-NZ" w:eastAsia="ko-KR"/>
        </w:rPr>
      </w:pPr>
      <w:r w:rsidRPr="00710333">
        <w:rPr>
          <w:b/>
          <w:lang w:val="en-NZ" w:eastAsia="ko-KR"/>
        </w:rPr>
        <w:t xml:space="preserve">4. </w:t>
      </w:r>
      <w:r>
        <w:rPr>
          <w:b/>
          <w:lang w:val="en-NZ" w:eastAsia="ko-KR"/>
        </w:rPr>
        <w:tab/>
      </w:r>
      <w:r w:rsidR="004465AA">
        <w:rPr>
          <w:b/>
          <w:lang w:val="en-NZ" w:eastAsia="ko-KR"/>
        </w:rPr>
        <w:t xml:space="preserve">APT </w:t>
      </w:r>
      <w:r>
        <w:rPr>
          <w:b/>
          <w:lang w:val="en-NZ" w:eastAsia="ko-KR"/>
        </w:rPr>
        <w:t xml:space="preserve">Preliminary </w:t>
      </w:r>
      <w:r w:rsidRPr="00710333">
        <w:rPr>
          <w:b/>
          <w:lang w:val="en-NZ" w:eastAsia="ko-KR"/>
        </w:rPr>
        <w:t>View</w:t>
      </w:r>
      <w:r w:rsidR="00D53688">
        <w:rPr>
          <w:b/>
          <w:lang w:val="en-NZ" w:eastAsia="ko-KR"/>
        </w:rPr>
        <w:t>(s)</w:t>
      </w:r>
    </w:p>
    <w:p w14:paraId="1C2FB95B" w14:textId="77777777" w:rsidR="00097BEA" w:rsidRPr="00D21266" w:rsidRDefault="00097BEA" w:rsidP="000D03BE">
      <w:pPr>
        <w:jc w:val="both"/>
        <w:rPr>
          <w:b/>
          <w:sz w:val="16"/>
          <w:szCs w:val="16"/>
          <w:lang w:val="en-NZ" w:eastAsia="ko-KR"/>
        </w:rPr>
      </w:pPr>
    </w:p>
    <w:p w14:paraId="7E6E4528" w14:textId="3EEF97B6" w:rsidR="00A46FF3" w:rsidRPr="009D5C55" w:rsidRDefault="00A46FF3" w:rsidP="000D03BE">
      <w:pPr>
        <w:rPr>
          <w:iCs/>
          <w:lang w:eastAsia="ko-KR"/>
        </w:rPr>
      </w:pPr>
      <w:r>
        <w:rPr>
          <w:lang w:eastAsia="ko-KR"/>
        </w:rPr>
        <w:t xml:space="preserve">APT </w:t>
      </w:r>
      <w:r w:rsidR="005D5E8F">
        <w:rPr>
          <w:lang w:eastAsia="ko-KR"/>
        </w:rPr>
        <w:t xml:space="preserve">members </w:t>
      </w:r>
      <w:r w:rsidR="001A1D24">
        <w:t xml:space="preserve">support </w:t>
      </w:r>
      <w:r w:rsidR="00163841">
        <w:t>ITU-R studies</w:t>
      </w:r>
      <w:r w:rsidR="001A1D24">
        <w:t xml:space="preserve"> and</w:t>
      </w:r>
      <w:r w:rsidR="003767DD" w:rsidRPr="00190D73">
        <w:rPr>
          <w:rFonts w:eastAsia="MS Mincho"/>
          <w:lang w:eastAsia="ja-JP"/>
        </w:rPr>
        <w:t xml:space="preserve"> are of the view</w:t>
      </w:r>
      <w:r w:rsidR="003767DD">
        <w:rPr>
          <w:rFonts w:eastAsia="MS Mincho"/>
          <w:lang w:eastAsia="ja-JP"/>
        </w:rPr>
        <w:t xml:space="preserve"> </w:t>
      </w:r>
      <w:r>
        <w:t xml:space="preserve">that any </w:t>
      </w:r>
      <w:r w:rsidRPr="009B011E">
        <w:t xml:space="preserve">possible revision of the limitations </w:t>
      </w:r>
      <w:r>
        <w:t xml:space="preserve">of </w:t>
      </w:r>
      <w:r w:rsidRPr="00F048B3">
        <w:rPr>
          <w:iCs/>
        </w:rPr>
        <w:t xml:space="preserve">Annex 7 to </w:t>
      </w:r>
      <w:r w:rsidRPr="009B011E">
        <w:t xml:space="preserve">Radio Regulations Appendix </w:t>
      </w:r>
      <w:r w:rsidRPr="002C3D97">
        <w:rPr>
          <w:b/>
        </w:rPr>
        <w:t>30</w:t>
      </w:r>
      <w:r w:rsidRPr="00F048B3">
        <w:rPr>
          <w:b/>
          <w:iCs/>
        </w:rPr>
        <w:t xml:space="preserve"> (Rev.WRC-15) </w:t>
      </w:r>
      <w:r w:rsidRPr="00F048B3">
        <w:rPr>
          <w:iCs/>
        </w:rPr>
        <w:t xml:space="preserve">under Resolution </w:t>
      </w:r>
      <w:r w:rsidRPr="00F048B3">
        <w:rPr>
          <w:b/>
          <w:bCs/>
          <w:iCs/>
        </w:rPr>
        <w:t>557 (WRC-15)</w:t>
      </w:r>
      <w:r w:rsidRPr="00F048B3">
        <w:rPr>
          <w:iCs/>
        </w:rPr>
        <w:t xml:space="preserve"> </w:t>
      </w:r>
      <w:r w:rsidRPr="00F048B3">
        <w:rPr>
          <w:iCs/>
          <w:lang w:eastAsia="ko-KR"/>
        </w:rPr>
        <w:t xml:space="preserve">should not impose any constraints on all assignments </w:t>
      </w:r>
      <w:r w:rsidRPr="00F048B3">
        <w:rPr>
          <w:iCs/>
        </w:rPr>
        <w:t xml:space="preserve">for Appendix </w:t>
      </w:r>
      <w:r w:rsidRPr="00F048B3">
        <w:rPr>
          <w:b/>
          <w:bCs/>
          <w:iCs/>
        </w:rPr>
        <w:t>30</w:t>
      </w:r>
      <w:r w:rsidRPr="00F048B3">
        <w:rPr>
          <w:iCs/>
        </w:rPr>
        <w:t xml:space="preserve"> for Region 3</w:t>
      </w:r>
      <w:r w:rsidRPr="00F048B3">
        <w:rPr>
          <w:rFonts w:hint="eastAsia"/>
          <w:iCs/>
          <w:lang w:eastAsia="ko-KR"/>
        </w:rPr>
        <w:t>.</w:t>
      </w:r>
    </w:p>
    <w:p w14:paraId="7FDA02F0" w14:textId="77777777" w:rsidR="002E6986" w:rsidRDefault="002E6986" w:rsidP="000D03BE">
      <w:pPr>
        <w:rPr>
          <w:lang w:val="en-NZ"/>
        </w:rPr>
      </w:pPr>
    </w:p>
    <w:p w14:paraId="0569DC3D" w14:textId="77777777" w:rsidR="00205956" w:rsidRDefault="00B64A60" w:rsidP="000D03BE">
      <w:pPr>
        <w:jc w:val="both"/>
        <w:rPr>
          <w:b/>
          <w:lang w:val="en-NZ" w:eastAsia="ko-KR"/>
        </w:rPr>
      </w:pPr>
      <w:r>
        <w:rPr>
          <w:b/>
          <w:lang w:val="en-NZ" w:eastAsia="ko-KR"/>
        </w:rPr>
        <w:t>5.</w:t>
      </w:r>
      <w:r w:rsidRPr="008D046E">
        <w:rPr>
          <w:b/>
          <w:lang w:val="en-NZ" w:eastAsia="ko-KR"/>
        </w:rPr>
        <w:t xml:space="preserve"> </w:t>
      </w:r>
      <w:r w:rsidRPr="008D046E">
        <w:rPr>
          <w:b/>
          <w:lang w:val="en-NZ" w:eastAsia="ko-KR"/>
        </w:rPr>
        <w:tab/>
        <w:t>Other Views</w:t>
      </w:r>
    </w:p>
    <w:p w14:paraId="61C2E7BD" w14:textId="77777777" w:rsidR="002E6986" w:rsidRPr="00D21266" w:rsidRDefault="002E6986" w:rsidP="000D03BE">
      <w:pPr>
        <w:jc w:val="both"/>
        <w:rPr>
          <w:b/>
          <w:sz w:val="16"/>
          <w:szCs w:val="16"/>
          <w:lang w:val="en-NZ" w:eastAsia="ko-KR"/>
        </w:rPr>
      </w:pPr>
    </w:p>
    <w:p w14:paraId="610B8A91" w14:textId="79897F91" w:rsidR="00B64A60" w:rsidRDefault="00C11EC3" w:rsidP="000D03BE">
      <w:pPr>
        <w:jc w:val="both"/>
        <w:rPr>
          <w:lang w:val="en-NZ"/>
        </w:rPr>
      </w:pPr>
      <w:r>
        <w:rPr>
          <w:lang w:val="en-NZ"/>
        </w:rPr>
        <w:t>None.</w:t>
      </w:r>
    </w:p>
    <w:p w14:paraId="3A4A2334" w14:textId="77777777" w:rsidR="004E15DF" w:rsidRDefault="004E15DF" w:rsidP="000D03BE">
      <w:pPr>
        <w:jc w:val="both"/>
        <w:rPr>
          <w:lang w:val="en-NZ"/>
        </w:rPr>
      </w:pPr>
    </w:p>
    <w:p w14:paraId="11DF0159" w14:textId="551F4627" w:rsidR="00D53688" w:rsidRDefault="00D53688" w:rsidP="000D03BE">
      <w:pPr>
        <w:rPr>
          <w:b/>
          <w:lang w:val="en-NZ"/>
        </w:rPr>
      </w:pPr>
      <w:r>
        <w:rPr>
          <w:b/>
          <w:lang w:val="en-NZ"/>
        </w:rPr>
        <w:t xml:space="preserve">6. </w:t>
      </w:r>
      <w:r>
        <w:rPr>
          <w:b/>
          <w:lang w:val="en-NZ"/>
        </w:rPr>
        <w:tab/>
        <w:t xml:space="preserve">Views from Other </w:t>
      </w:r>
      <w:r w:rsidR="00A564FB">
        <w:rPr>
          <w:b/>
          <w:lang w:val="en-NZ"/>
        </w:rPr>
        <w:t>Organisations</w:t>
      </w:r>
    </w:p>
    <w:p w14:paraId="42EB50BD" w14:textId="77777777" w:rsidR="00A00C37" w:rsidRPr="00D21266" w:rsidRDefault="00A00C37" w:rsidP="000D03BE">
      <w:pPr>
        <w:rPr>
          <w:b/>
          <w:sz w:val="16"/>
          <w:szCs w:val="16"/>
          <w:lang w:val="en-NZ"/>
        </w:rPr>
      </w:pPr>
    </w:p>
    <w:p w14:paraId="415418CE" w14:textId="099FA296" w:rsidR="00470450" w:rsidRDefault="00470450" w:rsidP="000D03BE">
      <w:pPr>
        <w:rPr>
          <w:b/>
          <w:sz w:val="22"/>
          <w:szCs w:val="22"/>
        </w:rPr>
      </w:pPr>
      <w:r w:rsidRPr="004E15DF">
        <w:rPr>
          <w:b/>
          <w:lang w:val="en-NZ"/>
        </w:rPr>
        <w:t>6.1</w:t>
      </w:r>
      <w:r>
        <w:rPr>
          <w:lang w:val="en-NZ"/>
        </w:rPr>
        <w:tab/>
      </w:r>
      <w:r>
        <w:rPr>
          <w:b/>
          <w:sz w:val="22"/>
          <w:szCs w:val="22"/>
        </w:rPr>
        <w:t>ASMG</w:t>
      </w:r>
    </w:p>
    <w:p w14:paraId="797485C9" w14:textId="77777777" w:rsidR="00D21266" w:rsidRPr="00D21266" w:rsidRDefault="00D21266" w:rsidP="00D21266">
      <w:pPr>
        <w:rPr>
          <w:b/>
          <w:sz w:val="16"/>
          <w:szCs w:val="16"/>
        </w:rPr>
      </w:pPr>
    </w:p>
    <w:p w14:paraId="5F5BD87C" w14:textId="6D4D0658" w:rsidR="008B3AE6" w:rsidRDefault="006F5237" w:rsidP="00D21266">
      <w:r w:rsidRPr="008B3AE6">
        <w:t xml:space="preserve">ASMG position: </w:t>
      </w:r>
    </w:p>
    <w:p w14:paraId="3DDB0371" w14:textId="7F6DF8D1" w:rsidR="008B3AE6" w:rsidRPr="008B3AE6" w:rsidRDefault="008B3AE6" w:rsidP="00D21266">
      <w:pPr>
        <w:pStyle w:val="ListParagraph"/>
        <w:numPr>
          <w:ilvl w:val="0"/>
          <w:numId w:val="32"/>
        </w:numPr>
        <w:ind w:left="630"/>
      </w:pPr>
      <w:r w:rsidRPr="008B3AE6">
        <w:t>Follow-up studies.</w:t>
      </w:r>
    </w:p>
    <w:p w14:paraId="38EF749E" w14:textId="77777777" w:rsidR="008B3AE6" w:rsidRDefault="002C2C72" w:rsidP="00D21266">
      <w:pPr>
        <w:pStyle w:val="ListParagraph"/>
        <w:numPr>
          <w:ilvl w:val="0"/>
          <w:numId w:val="32"/>
        </w:numPr>
        <w:ind w:left="630"/>
      </w:pPr>
      <w:r w:rsidRPr="008B3AE6">
        <w:t>Not supporting the removal of any restrictions that may have a potential impact on the current allocations or allotments of the plan.</w:t>
      </w:r>
    </w:p>
    <w:p w14:paraId="22F2409F" w14:textId="3EF95C86" w:rsidR="002C2C72" w:rsidRPr="008B3AE6" w:rsidRDefault="002C2C72" w:rsidP="00D21266">
      <w:pPr>
        <w:pStyle w:val="ListParagraph"/>
        <w:numPr>
          <w:ilvl w:val="0"/>
          <w:numId w:val="32"/>
        </w:numPr>
        <w:ind w:left="630"/>
      </w:pPr>
      <w:r w:rsidRPr="008B3AE6">
        <w:t>Protection of assignments included in the Plan and List and the future of BSS network</w:t>
      </w:r>
      <w:r w:rsidR="008B3AE6">
        <w:t>s</w:t>
      </w:r>
    </w:p>
    <w:p w14:paraId="4BC7B2B4" w14:textId="0594ED82" w:rsidR="008B3AE6" w:rsidRDefault="008B3AE6" w:rsidP="000D03BE">
      <w:pPr>
        <w:ind w:left="720"/>
      </w:pPr>
    </w:p>
    <w:p w14:paraId="489E2027" w14:textId="6531AEF3" w:rsidR="002C2C72" w:rsidRDefault="002C2C72" w:rsidP="000D03BE">
      <w:r w:rsidRPr="004E15DF">
        <w:rPr>
          <w:b/>
        </w:rPr>
        <w:t>6.</w:t>
      </w:r>
      <w:r w:rsidR="008B3AE6" w:rsidRPr="004E15DF">
        <w:rPr>
          <w:b/>
        </w:rPr>
        <w:t>2</w:t>
      </w:r>
      <w:r w:rsidRPr="008B3AE6">
        <w:tab/>
      </w:r>
      <w:r w:rsidR="008B3AE6" w:rsidRPr="00F717AB">
        <w:rPr>
          <w:b/>
        </w:rPr>
        <w:t>CEPT</w:t>
      </w:r>
    </w:p>
    <w:p w14:paraId="3FFC7D45" w14:textId="77777777" w:rsidR="008B3AE6" w:rsidRPr="00D21266" w:rsidRDefault="008B3AE6" w:rsidP="000D03BE">
      <w:pPr>
        <w:rPr>
          <w:sz w:val="16"/>
          <w:szCs w:val="16"/>
        </w:rPr>
      </w:pPr>
    </w:p>
    <w:p w14:paraId="5E5D6E0F" w14:textId="3E8B2E24" w:rsidR="00470450" w:rsidRPr="00DD0640" w:rsidRDefault="008B3AE6" w:rsidP="000D03BE">
      <w:pPr>
        <w:widowControl w:val="0"/>
        <w:autoSpaceDE w:val="0"/>
        <w:autoSpaceDN w:val="0"/>
        <w:adjustRightInd w:val="0"/>
        <w:rPr>
          <w:rFonts w:eastAsia="Batang"/>
        </w:rPr>
      </w:pPr>
      <w:r w:rsidRPr="00DD0640">
        <w:rPr>
          <w:rFonts w:eastAsia="Batang"/>
        </w:rPr>
        <w:t xml:space="preserve">CEPT reaffirms, inter alia considering that 74 Administrations are having frequency assignments within the allowable portions of Table 1 of Annex 7 to Appendix 30 (Rev.WRC-12), that it is necessary to ensure the protection of, and not impose additional constraints on, assignments in the Plan and the List and the future development of the broadcasting-satellite service within the Plan, and existing and planned fixed-satellite service networks. In order to </w:t>
      </w:r>
      <w:r w:rsidR="003A6533" w:rsidRPr="00DD0640">
        <w:rPr>
          <w:rFonts w:eastAsia="Batang"/>
        </w:rPr>
        <w:t>fulfill</w:t>
      </w:r>
      <w:r w:rsidRPr="00DD0640">
        <w:rPr>
          <w:rFonts w:eastAsia="Batang"/>
        </w:rPr>
        <w:t xml:space="preserve"> the requirements above, inter alia consideration of compatibility studies between BSS assignments subject to Appendix 30 (Rev.WRC-12) within Regions 1 and 3 is required for the </w:t>
      </w:r>
      <w:r w:rsidRPr="00DD0640">
        <w:rPr>
          <w:rFonts w:eastAsia="Batang"/>
        </w:rPr>
        <w:lastRenderedPageBreak/>
        <w:t xml:space="preserve">specific cases mentioned in noting c) and </w:t>
      </w:r>
      <w:r w:rsidR="003A6533" w:rsidRPr="00DD0640">
        <w:rPr>
          <w:rFonts w:eastAsia="Batang"/>
        </w:rPr>
        <w:t>recognizing</w:t>
      </w:r>
      <w:r w:rsidRPr="00DD0640">
        <w:rPr>
          <w:rFonts w:eastAsia="Batang"/>
        </w:rPr>
        <w:t xml:space="preserve"> b) of Resolution 557 (WRC-15).</w:t>
      </w:r>
    </w:p>
    <w:p w14:paraId="7AC2867E" w14:textId="77777777" w:rsidR="003A6533" w:rsidRDefault="00FF0194" w:rsidP="000D03BE">
      <w:r w:rsidRPr="00F717AB">
        <w:t xml:space="preserve"> </w:t>
      </w:r>
    </w:p>
    <w:p w14:paraId="5E011537" w14:textId="13AE8723" w:rsidR="00E929CD" w:rsidRPr="00DD0640" w:rsidRDefault="00E929CD" w:rsidP="000D03BE">
      <w:r w:rsidRPr="00DD0640">
        <w:rPr>
          <w:rFonts w:eastAsia="Batang"/>
          <w:color w:val="000000"/>
        </w:rPr>
        <w:t>CEPT supports the deletions of the limitations:</w:t>
      </w:r>
    </w:p>
    <w:p w14:paraId="6A97CA80" w14:textId="79C8B98A" w:rsidR="00E929CD" w:rsidRPr="00DD0640" w:rsidRDefault="00E929CD" w:rsidP="000D03BE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ind w:right="-270"/>
        <w:rPr>
          <w:rFonts w:eastAsia="Batang"/>
          <w:color w:val="000000"/>
        </w:rPr>
      </w:pPr>
      <w:r w:rsidRPr="00DD0640">
        <w:rPr>
          <w:rFonts w:eastAsia="Batang"/>
          <w:color w:val="000000"/>
        </w:rPr>
        <w:t>Limitation A1 (part a) (No assignments in the Region 1 List further west than 37.2°W)</w:t>
      </w:r>
    </w:p>
    <w:p w14:paraId="5C408370" w14:textId="4C554C31" w:rsidR="00E929CD" w:rsidRPr="00DD0640" w:rsidRDefault="00E929CD" w:rsidP="000D03BE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ind w:right="-270"/>
        <w:rPr>
          <w:rFonts w:eastAsia="Batang"/>
          <w:color w:val="000000"/>
        </w:rPr>
      </w:pPr>
      <w:r w:rsidRPr="00DD0640">
        <w:rPr>
          <w:rFonts w:eastAsia="Batang"/>
          <w:color w:val="000000"/>
        </w:rPr>
        <w:t>Limitation A2a (No modification in the Region 2 Plan further east than 54°W)</w:t>
      </w:r>
    </w:p>
    <w:p w14:paraId="31FF51F4" w14:textId="0F795FDD" w:rsidR="00E929CD" w:rsidRDefault="00E929CD" w:rsidP="000D03BE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ind w:right="-270"/>
        <w:rPr>
          <w:rFonts w:eastAsia="Batang"/>
          <w:color w:val="000000"/>
        </w:rPr>
      </w:pPr>
      <w:r w:rsidRPr="00DD0640">
        <w:rPr>
          <w:rFonts w:eastAsia="Batang"/>
          <w:color w:val="000000"/>
        </w:rPr>
        <w:t>Limitation A2b (No modification in the Region 2 Plan further east than 44°W)</w:t>
      </w:r>
    </w:p>
    <w:p w14:paraId="5525783D" w14:textId="77777777" w:rsidR="0068252D" w:rsidRPr="00DD0640" w:rsidRDefault="0068252D" w:rsidP="0068252D">
      <w:pPr>
        <w:pStyle w:val="ListParagraph"/>
        <w:widowControl w:val="0"/>
        <w:autoSpaceDE w:val="0"/>
        <w:autoSpaceDN w:val="0"/>
        <w:adjustRightInd w:val="0"/>
        <w:ind w:right="-270"/>
        <w:rPr>
          <w:rFonts w:eastAsia="Batang"/>
          <w:color w:val="000000"/>
        </w:rPr>
      </w:pPr>
    </w:p>
    <w:p w14:paraId="2AF7D78E" w14:textId="77777777" w:rsidR="00E929CD" w:rsidRPr="0068252D" w:rsidRDefault="00E929CD" w:rsidP="0068252D">
      <w:pPr>
        <w:widowControl w:val="0"/>
        <w:autoSpaceDE w:val="0"/>
        <w:autoSpaceDN w:val="0"/>
        <w:adjustRightInd w:val="0"/>
        <w:ind w:right="-270"/>
        <w:rPr>
          <w:rFonts w:eastAsia="Batang"/>
          <w:color w:val="000000"/>
        </w:rPr>
      </w:pPr>
      <w:r w:rsidRPr="0068252D">
        <w:rPr>
          <w:rFonts w:eastAsia="Batang"/>
          <w:color w:val="000000"/>
        </w:rPr>
        <w:t>CEPT considers the possible deletions of the limitations:</w:t>
      </w:r>
    </w:p>
    <w:p w14:paraId="01153B3B" w14:textId="68CDDF52" w:rsidR="00E929CD" w:rsidRPr="00DD0640" w:rsidRDefault="00E929CD" w:rsidP="000D03BE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ind w:right="-270"/>
        <w:rPr>
          <w:rFonts w:eastAsia="Batang"/>
          <w:color w:val="000000"/>
        </w:rPr>
      </w:pPr>
      <w:r w:rsidRPr="00DD0640">
        <w:rPr>
          <w:rFonts w:eastAsia="Batang"/>
          <w:color w:val="000000"/>
        </w:rPr>
        <w:t>Limitation A1 (part b) (No assignments in the Region 1 List further east than 146°E)</w:t>
      </w:r>
    </w:p>
    <w:p w14:paraId="268DF557" w14:textId="5C3A810C" w:rsidR="00E929CD" w:rsidRPr="00DD0640" w:rsidRDefault="00E929CD" w:rsidP="000D03BE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ind w:right="-270"/>
        <w:rPr>
          <w:rFonts w:eastAsia="Batang"/>
          <w:color w:val="000000"/>
        </w:rPr>
      </w:pPr>
      <w:r w:rsidRPr="00DD0640">
        <w:rPr>
          <w:rFonts w:eastAsia="Batang"/>
          <w:color w:val="000000"/>
        </w:rPr>
        <w:t>Limitation A2c (No modification in the Region 2 Plan further west than 175.2°W)</w:t>
      </w:r>
    </w:p>
    <w:p w14:paraId="41407AD9" w14:textId="56458FD3" w:rsidR="00FF0194" w:rsidRPr="0068252D" w:rsidRDefault="00E929CD" w:rsidP="000D03BE">
      <w:pPr>
        <w:pStyle w:val="ListParagraph"/>
        <w:numPr>
          <w:ilvl w:val="0"/>
          <w:numId w:val="33"/>
        </w:numPr>
        <w:ind w:right="-270"/>
      </w:pPr>
      <w:r w:rsidRPr="00DD0640">
        <w:rPr>
          <w:rFonts w:eastAsia="Batang"/>
          <w:color w:val="000000"/>
        </w:rPr>
        <w:t>CEPT will continue to study the possible deletion of other limitations.</w:t>
      </w:r>
    </w:p>
    <w:p w14:paraId="2A5A989D" w14:textId="77777777" w:rsidR="00E572A5" w:rsidRPr="00DD0640" w:rsidRDefault="00E572A5" w:rsidP="000D03BE"/>
    <w:p w14:paraId="059A4C1F" w14:textId="38E45340" w:rsidR="00E572A5" w:rsidRPr="00DD0640" w:rsidRDefault="00C56173" w:rsidP="000D03BE">
      <w:r w:rsidRPr="004E15DF">
        <w:rPr>
          <w:b/>
        </w:rPr>
        <w:t>6.3</w:t>
      </w:r>
      <w:r w:rsidRPr="008B3AE6">
        <w:tab/>
      </w:r>
      <w:r>
        <w:rPr>
          <w:b/>
        </w:rPr>
        <w:t>CITEL</w:t>
      </w:r>
    </w:p>
    <w:p w14:paraId="0B66E229" w14:textId="77777777" w:rsidR="00E572A5" w:rsidRPr="00D21266" w:rsidRDefault="00E572A5" w:rsidP="000D03BE">
      <w:pPr>
        <w:rPr>
          <w:sz w:val="16"/>
          <w:szCs w:val="16"/>
          <w:lang w:val="en-NZ"/>
        </w:rPr>
      </w:pPr>
    </w:p>
    <w:p w14:paraId="3219951D" w14:textId="77777777" w:rsidR="00DD0640" w:rsidRDefault="00E572A5" w:rsidP="000D03BE">
      <w:pPr>
        <w:rPr>
          <w:rFonts w:eastAsia="Batang"/>
        </w:rPr>
      </w:pPr>
      <w:r w:rsidRPr="00DD0640">
        <w:rPr>
          <w:rFonts w:eastAsia="Batang"/>
        </w:rPr>
        <w:t>With respect to Agenda Item 1.4, the United States and Canada supports</w:t>
      </w:r>
      <w:r>
        <w:rPr>
          <w:rFonts w:eastAsia="Batang"/>
        </w:rPr>
        <w:t xml:space="preserve"> </w:t>
      </w:r>
      <w:r w:rsidRPr="00DD0640">
        <w:rPr>
          <w:rFonts w:eastAsia="Batang"/>
        </w:rPr>
        <w:t>the studies in accordance with Resolution 557 (WRC-15).  Based upon</w:t>
      </w:r>
      <w:r>
        <w:rPr>
          <w:rFonts w:eastAsia="Batang"/>
        </w:rPr>
        <w:t xml:space="preserve"> </w:t>
      </w:r>
      <w:r w:rsidRPr="00DD0640">
        <w:rPr>
          <w:rFonts w:eastAsia="Batang"/>
        </w:rPr>
        <w:t>successful conclusion of these activities, the United States and Canada</w:t>
      </w:r>
      <w:r>
        <w:rPr>
          <w:rFonts w:eastAsia="Batang"/>
        </w:rPr>
        <w:t xml:space="preserve"> </w:t>
      </w:r>
      <w:r w:rsidRPr="00DD0640">
        <w:rPr>
          <w:rFonts w:eastAsia="Batang"/>
        </w:rPr>
        <w:t>supports the review and revision, as necessary, of the limitations of Annex</w:t>
      </w:r>
      <w:r>
        <w:rPr>
          <w:rFonts w:eastAsia="Batang"/>
        </w:rPr>
        <w:t xml:space="preserve"> </w:t>
      </w:r>
      <w:r w:rsidR="00CE0C41" w:rsidRPr="00DD0640">
        <w:rPr>
          <w:rFonts w:eastAsia="Batang"/>
        </w:rPr>
        <w:t xml:space="preserve">7 to Appendix 30 (Rev.WRC-12), </w:t>
      </w:r>
      <w:r w:rsidRPr="00DD0640">
        <w:rPr>
          <w:rFonts w:eastAsia="Batang"/>
        </w:rPr>
        <w:t>while ensuring the protection of existing</w:t>
      </w:r>
      <w:r>
        <w:rPr>
          <w:rFonts w:eastAsia="Batang"/>
        </w:rPr>
        <w:t xml:space="preserve"> </w:t>
      </w:r>
      <w:r w:rsidRPr="00DD0640">
        <w:rPr>
          <w:rFonts w:eastAsia="Batang"/>
        </w:rPr>
        <w:t>assignments in the Plan and the List and the future development of BSS</w:t>
      </w:r>
      <w:r>
        <w:rPr>
          <w:rFonts w:eastAsia="Batang"/>
        </w:rPr>
        <w:t xml:space="preserve"> </w:t>
      </w:r>
      <w:r w:rsidRPr="00DD0640">
        <w:rPr>
          <w:rFonts w:eastAsia="Batang"/>
        </w:rPr>
        <w:t>service within the Plan, and existing and planned fixed-satellite service</w:t>
      </w:r>
      <w:r>
        <w:rPr>
          <w:rFonts w:eastAsia="Batang"/>
        </w:rPr>
        <w:t xml:space="preserve"> </w:t>
      </w:r>
      <w:r w:rsidRPr="00DD0640">
        <w:rPr>
          <w:rFonts w:eastAsia="Batang"/>
        </w:rPr>
        <w:t>networks.</w:t>
      </w:r>
    </w:p>
    <w:p w14:paraId="649135C8" w14:textId="77777777" w:rsidR="0029434B" w:rsidRDefault="0029434B" w:rsidP="000D03BE">
      <w:pPr>
        <w:rPr>
          <w:rFonts w:eastAsia="Batang"/>
        </w:rPr>
      </w:pPr>
    </w:p>
    <w:p w14:paraId="6AFDC580" w14:textId="42D25C39" w:rsidR="00DD0640" w:rsidRDefault="00DD0640" w:rsidP="000D03BE">
      <w:pPr>
        <w:rPr>
          <w:b/>
        </w:rPr>
      </w:pPr>
      <w:r w:rsidRPr="004E15DF">
        <w:rPr>
          <w:rFonts w:eastAsia="Batang"/>
          <w:b/>
        </w:rPr>
        <w:t>6.4</w:t>
      </w:r>
      <w:r>
        <w:rPr>
          <w:rFonts w:eastAsia="Batang"/>
        </w:rPr>
        <w:t xml:space="preserve"> </w:t>
      </w:r>
      <w:r w:rsidR="00425ABD">
        <w:rPr>
          <w:rFonts w:eastAsia="Batang"/>
        </w:rPr>
        <w:tab/>
      </w:r>
      <w:r w:rsidR="00CE0C41">
        <w:rPr>
          <w:b/>
        </w:rPr>
        <w:t>RCC</w:t>
      </w:r>
    </w:p>
    <w:p w14:paraId="237CE12F" w14:textId="77777777" w:rsidR="00DD0640" w:rsidRPr="00D21266" w:rsidRDefault="00DD0640" w:rsidP="000D03BE">
      <w:pPr>
        <w:rPr>
          <w:sz w:val="16"/>
          <w:szCs w:val="16"/>
        </w:rPr>
      </w:pPr>
    </w:p>
    <w:p w14:paraId="089B3C19" w14:textId="49B38840" w:rsidR="00CD779D" w:rsidRDefault="003A6533" w:rsidP="000D03BE">
      <w:r w:rsidRPr="00DD0640">
        <w:t xml:space="preserve">The RCC Administrations support studies on possible revisions to the limitations </w:t>
      </w:r>
      <w:r w:rsidR="0054118A">
        <w:t>in Annex 7 to Appendix 30 (Rev.</w:t>
      </w:r>
      <w:r w:rsidRPr="00DD0640">
        <w:t>WRC-12), while ensuring the protection of, and without imposing additional constraints on, BSS assignments in the Plan and in the List and FSS networks.</w:t>
      </w:r>
    </w:p>
    <w:p w14:paraId="304586E9" w14:textId="77777777" w:rsidR="00DD0640" w:rsidRDefault="00DD0640" w:rsidP="000D03BE"/>
    <w:p w14:paraId="20F613A3" w14:textId="0061B76C" w:rsidR="00DD0640" w:rsidRDefault="00DD0640" w:rsidP="000D03BE">
      <w:r w:rsidRPr="00925286">
        <w:t>The RCC Administrations support the deletion of the following limitations (Atlantic Region</w:t>
      </w:r>
      <w:r>
        <w:t xml:space="preserve">): </w:t>
      </w:r>
    </w:p>
    <w:p w14:paraId="0CF9653E" w14:textId="7286772A" w:rsidR="00DD0640" w:rsidRDefault="00DD0640" w:rsidP="000D03BE">
      <w:pPr>
        <w:pStyle w:val="ListParagraph"/>
        <w:numPr>
          <w:ilvl w:val="0"/>
          <w:numId w:val="38"/>
        </w:numPr>
      </w:pPr>
      <w:r w:rsidRPr="00925286">
        <w:t>Limitation A1 (part a) (No assignments in the Region 1 List in the frequency band 11.7-12.2 GHz further west than 37.2°W</w:t>
      </w:r>
      <w:r>
        <w:t>);</w:t>
      </w:r>
    </w:p>
    <w:p w14:paraId="60F9DAD7" w14:textId="07886FD0" w:rsidR="00DD0640" w:rsidRDefault="00DD0640" w:rsidP="000D03BE">
      <w:pPr>
        <w:pStyle w:val="ListParagraph"/>
        <w:numPr>
          <w:ilvl w:val="0"/>
          <w:numId w:val="38"/>
        </w:numPr>
      </w:pPr>
      <w:r w:rsidRPr="00925286">
        <w:t>Limitation A2a (No modification in the Region 2 Plan in the frequency band 12.5-12.7 GHz further east than 54°W</w:t>
      </w:r>
      <w:r>
        <w:t>);</w:t>
      </w:r>
    </w:p>
    <w:p w14:paraId="3B81B6DE" w14:textId="47119733" w:rsidR="00DD0640" w:rsidRDefault="00DD0640" w:rsidP="000D03BE">
      <w:pPr>
        <w:pStyle w:val="ListParagraph"/>
        <w:numPr>
          <w:ilvl w:val="0"/>
          <w:numId w:val="38"/>
        </w:numPr>
      </w:pPr>
      <w:r w:rsidRPr="00925286">
        <w:t>Limitation A2b (No modification in the Region 2 Plan in the frequency band 12.2-12.5 GHz further east than 44°W)</w:t>
      </w:r>
      <w:r>
        <w:t>.</w:t>
      </w:r>
    </w:p>
    <w:p w14:paraId="343E2B5D" w14:textId="77777777" w:rsidR="00DD0640" w:rsidRPr="00925286" w:rsidRDefault="00DD0640" w:rsidP="000D03BE"/>
    <w:p w14:paraId="08E258B2" w14:textId="202C5ACE" w:rsidR="00DD0640" w:rsidRDefault="003A6533" w:rsidP="000D03BE">
      <w:r w:rsidRPr="00925286">
        <w:t>The RCC Administrations consider the possibility to delete the following limitations (Pacific Region):</w:t>
      </w:r>
    </w:p>
    <w:p w14:paraId="6E715DFB" w14:textId="60D55EDE" w:rsidR="00DD0640" w:rsidRDefault="00DD0640" w:rsidP="000D03BE">
      <w:pPr>
        <w:pStyle w:val="ListParagraph"/>
        <w:numPr>
          <w:ilvl w:val="0"/>
          <w:numId w:val="40"/>
        </w:numPr>
      </w:pPr>
      <w:r w:rsidRPr="00925286">
        <w:t>Limitation A1 (part b) (No assignments in the Region 1 List in the frequency band 11.7-12.2 GHz further east than 146°E</w:t>
      </w:r>
      <w:r>
        <w:t>);</w:t>
      </w:r>
    </w:p>
    <w:p w14:paraId="380E85F3" w14:textId="2D528CFA" w:rsidR="00DD0640" w:rsidRDefault="00DD0640" w:rsidP="000D03BE">
      <w:pPr>
        <w:pStyle w:val="ListParagraph"/>
        <w:numPr>
          <w:ilvl w:val="0"/>
          <w:numId w:val="40"/>
        </w:numPr>
      </w:pPr>
      <w:bookmarkStart w:id="0" w:name="_GoBack"/>
      <w:bookmarkEnd w:id="0"/>
      <w:r w:rsidRPr="00925286">
        <w:t>Limitation A2c (No modification in the Region 2 Plan in the frequency band 12.2-12.7 GHz further west than 175.2°W)</w:t>
      </w:r>
      <w:r>
        <w:t>.</w:t>
      </w:r>
    </w:p>
    <w:p w14:paraId="6105E4A7" w14:textId="77777777" w:rsidR="00DD0640" w:rsidRDefault="00DD0640" w:rsidP="000D03BE"/>
    <w:p w14:paraId="3A21C84A" w14:textId="4C2A7414" w:rsidR="00DD0640" w:rsidRDefault="00DD0640" w:rsidP="000D03BE">
      <w:r w:rsidRPr="00925286">
        <w:t>The RCC Administrations continue studies on suppression/revision of the following limitations</w:t>
      </w:r>
      <w:r>
        <w:t>:</w:t>
      </w:r>
    </w:p>
    <w:p w14:paraId="5DEB593C" w14:textId="77777777" w:rsidR="00DD0640" w:rsidRDefault="00DD0640" w:rsidP="000D03BE">
      <w:pPr>
        <w:pStyle w:val="ListParagraph"/>
        <w:numPr>
          <w:ilvl w:val="0"/>
          <w:numId w:val="39"/>
        </w:numPr>
        <w:jc w:val="both"/>
      </w:pPr>
      <w:r w:rsidRPr="00925286">
        <w:t>Limitation A3 (part a) (No assignments in the Regions 1 &amp; 3 List outside specific allowable portions of the orbital arc between 37.2°W and 10°E</w:t>
      </w:r>
      <w:r>
        <w:t>);</w:t>
      </w:r>
    </w:p>
    <w:p w14:paraId="05C20ACD" w14:textId="5AEB080F" w:rsidR="00DD0640" w:rsidRDefault="00DD0640" w:rsidP="000D03BE">
      <w:pPr>
        <w:pStyle w:val="ListParagraph"/>
        <w:numPr>
          <w:ilvl w:val="0"/>
          <w:numId w:val="39"/>
        </w:numPr>
        <w:jc w:val="both"/>
      </w:pPr>
      <w:r w:rsidRPr="00925286">
        <w:t xml:space="preserve">Limitation A3 (part b) (Max. </w:t>
      </w:r>
      <w:proofErr w:type="spellStart"/>
      <w:r w:rsidRPr="00925286">
        <w:t>e.i.r.p</w:t>
      </w:r>
      <w:proofErr w:type="spellEnd"/>
      <w:r w:rsidRPr="00925286">
        <w:t xml:space="preserve">. of 56 </w:t>
      </w:r>
      <w:proofErr w:type="spellStart"/>
      <w:r w:rsidRPr="00925286">
        <w:t>dBW</w:t>
      </w:r>
      <w:proofErr w:type="spellEnd"/>
      <w:r w:rsidRPr="00925286">
        <w:t xml:space="preserve"> for assignments in the Regions 1 &amp; 3 List at specific allowable portions of the orbital arc between 37.2°W and 10°E</w:t>
      </w:r>
      <w:r>
        <w:t>);</w:t>
      </w:r>
    </w:p>
    <w:p w14:paraId="4AFCAFA4" w14:textId="0E8A10BD" w:rsidR="00DD0640" w:rsidRDefault="00DD0640" w:rsidP="000D03BE">
      <w:pPr>
        <w:pStyle w:val="ListParagraph"/>
        <w:numPr>
          <w:ilvl w:val="0"/>
          <w:numId w:val="39"/>
        </w:numPr>
        <w:jc w:val="both"/>
      </w:pPr>
      <w:r w:rsidRPr="00925286">
        <w:t>Limitation A3 (part c) (Max. power flux density of -138 dB(W/(m</w:t>
      </w:r>
      <w:r w:rsidRPr="00925286">
        <w:rPr>
          <w:vertAlign w:val="superscript"/>
        </w:rPr>
        <w:t>2</w:t>
      </w:r>
      <w:r w:rsidRPr="00925286">
        <w:t>·27 MHz)) at any point in Region 2 by assignments in List located at 4°W and 9°E</w:t>
      </w:r>
      <w:r>
        <w:t>);</w:t>
      </w:r>
    </w:p>
    <w:p w14:paraId="00982D84" w14:textId="6E431FEB" w:rsidR="00DD0640" w:rsidRDefault="00DD0640" w:rsidP="000D03BE">
      <w:pPr>
        <w:pStyle w:val="ListParagraph"/>
        <w:numPr>
          <w:ilvl w:val="0"/>
          <w:numId w:val="39"/>
        </w:numPr>
        <w:jc w:val="both"/>
      </w:pPr>
      <w:r w:rsidRPr="00925286">
        <w:t>Limitation B (Required agreement of administrations having assignments to space stations in the same cluster when an administration may locate a satellite within this cluster</w:t>
      </w:r>
      <w:r w:rsidR="006E204A">
        <w:t>)</w:t>
      </w:r>
      <w:r>
        <w:t>.</w:t>
      </w:r>
    </w:p>
    <w:p w14:paraId="14C96BBF" w14:textId="77777777" w:rsidR="006E204A" w:rsidRDefault="006E204A" w:rsidP="000D03BE">
      <w:pPr>
        <w:ind w:left="360"/>
        <w:jc w:val="both"/>
      </w:pPr>
    </w:p>
    <w:p w14:paraId="16DBF6A6" w14:textId="6B7B07F5" w:rsidR="00DD0640" w:rsidRDefault="00DD0640" w:rsidP="000D03BE">
      <w:pPr>
        <w:jc w:val="both"/>
      </w:pPr>
      <w:r w:rsidRPr="00925286">
        <w:t xml:space="preserve">The RCC Administrations consider that the proposed revisions of criteria and provisions of Appendix </w:t>
      </w:r>
      <w:r w:rsidRPr="00925286">
        <w:rPr>
          <w:b/>
        </w:rPr>
        <w:t>30 (Rev. WRC-12),</w:t>
      </w:r>
      <w:r w:rsidRPr="00925286">
        <w:t xml:space="preserve"> other than of Annex 7, are beyond the scope of the studies in accordance with Resolution </w:t>
      </w:r>
      <w:r w:rsidRPr="00925286">
        <w:rPr>
          <w:b/>
        </w:rPr>
        <w:t>557 (WRC-15</w:t>
      </w:r>
      <w:r w:rsidR="003767DD">
        <w:rPr>
          <w:b/>
        </w:rPr>
        <w:t>).</w:t>
      </w:r>
    </w:p>
    <w:p w14:paraId="2E0E6762" w14:textId="62E119CD" w:rsidR="00B64A60" w:rsidRDefault="00B64A60" w:rsidP="000D03BE">
      <w:pPr>
        <w:widowControl w:val="0"/>
        <w:autoSpaceDE w:val="0"/>
        <w:autoSpaceDN w:val="0"/>
        <w:adjustRightInd w:val="0"/>
        <w:rPr>
          <w:lang w:val="en-NZ"/>
        </w:rPr>
      </w:pPr>
    </w:p>
    <w:p w14:paraId="0D27828C" w14:textId="77777777" w:rsidR="001B26A4" w:rsidRPr="00B64A60" w:rsidRDefault="001B26A4" w:rsidP="000D03BE">
      <w:pPr>
        <w:widowControl w:val="0"/>
        <w:autoSpaceDE w:val="0"/>
        <w:autoSpaceDN w:val="0"/>
        <w:adjustRightInd w:val="0"/>
        <w:rPr>
          <w:lang w:val="en-NZ"/>
        </w:rPr>
      </w:pPr>
    </w:p>
    <w:p w14:paraId="2E0E6763" w14:textId="1327959E" w:rsidR="00B64A60" w:rsidRDefault="00D53688" w:rsidP="00776013">
      <w:pPr>
        <w:spacing w:afterLines="50"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="00B64A60">
        <w:rPr>
          <w:b/>
          <w:lang w:val="en-NZ" w:eastAsia="ko-KR"/>
        </w:rPr>
        <w:t>.</w:t>
      </w:r>
      <w:r w:rsidR="00B64A60" w:rsidRPr="008D046E">
        <w:rPr>
          <w:b/>
          <w:lang w:val="en-NZ" w:eastAsia="ko-KR"/>
        </w:rPr>
        <w:t xml:space="preserve"> </w:t>
      </w:r>
      <w:r w:rsidR="00B64A60" w:rsidRPr="008D046E">
        <w:rPr>
          <w:b/>
          <w:lang w:val="en-NZ" w:eastAsia="ko-KR"/>
        </w:rPr>
        <w:tab/>
        <w:t xml:space="preserve">Issues for </w:t>
      </w:r>
      <w:r w:rsidR="00585F3C">
        <w:rPr>
          <w:b/>
          <w:lang w:val="en-NZ" w:eastAsia="ko-KR"/>
        </w:rPr>
        <w:t>C</w:t>
      </w:r>
      <w:r w:rsidR="00B64A60" w:rsidRPr="008D046E">
        <w:rPr>
          <w:b/>
          <w:lang w:val="en-NZ" w:eastAsia="ko-KR"/>
        </w:rPr>
        <w:t xml:space="preserve">onsideration at </w:t>
      </w:r>
      <w:r w:rsidR="00585F3C">
        <w:rPr>
          <w:b/>
          <w:lang w:val="en-NZ" w:eastAsia="ko-KR"/>
        </w:rPr>
        <w:t>N</w:t>
      </w:r>
      <w:r w:rsidR="00B64A60" w:rsidRPr="008D046E">
        <w:rPr>
          <w:b/>
          <w:lang w:val="en-NZ" w:eastAsia="ko-KR"/>
        </w:rPr>
        <w:t xml:space="preserve">ext APG </w:t>
      </w:r>
      <w:r w:rsidR="00585F3C">
        <w:rPr>
          <w:b/>
          <w:lang w:val="en-NZ" w:eastAsia="ko-KR"/>
        </w:rPr>
        <w:t>M</w:t>
      </w:r>
      <w:r w:rsidR="00B64A60" w:rsidRPr="008D046E">
        <w:rPr>
          <w:b/>
          <w:lang w:val="en-NZ" w:eastAsia="ko-KR"/>
        </w:rPr>
        <w:t>eeting</w:t>
      </w:r>
    </w:p>
    <w:p w14:paraId="48B369CE" w14:textId="1E3E4E40" w:rsidR="00776013" w:rsidRDefault="00776013" w:rsidP="00776013">
      <w:pPr>
        <w:jc w:val="both"/>
        <w:rPr>
          <w:lang w:val="en-NZ"/>
        </w:rPr>
      </w:pPr>
      <w:r>
        <w:t>APT Members are invited to follow the progress of ITU-R studies</w:t>
      </w:r>
      <w:r>
        <w:rPr>
          <w:snapToGrid w:val="0"/>
          <w:lang w:val="en-AU"/>
        </w:rPr>
        <w:t xml:space="preserve"> and</w:t>
      </w:r>
      <w:r w:rsidRPr="00B11B5D">
        <w:rPr>
          <w:snapToGrid w:val="0"/>
          <w:lang w:val="en-AU"/>
        </w:rPr>
        <w:t xml:space="preserve"> </w:t>
      </w:r>
      <w:r>
        <w:rPr>
          <w:snapToGrid w:val="0"/>
          <w:lang w:val="en-AU"/>
        </w:rPr>
        <w:t xml:space="preserve">are </w:t>
      </w:r>
      <w:r w:rsidRPr="00B11B5D">
        <w:rPr>
          <w:snapToGrid w:val="0"/>
          <w:lang w:val="en-AU"/>
        </w:rPr>
        <w:t>encouraged to submit their contributio</w:t>
      </w:r>
      <w:r w:rsidR="00544D0C">
        <w:rPr>
          <w:snapToGrid w:val="0"/>
          <w:lang w:val="en-AU"/>
        </w:rPr>
        <w:t>ns for further considerations to</w:t>
      </w:r>
      <w:r w:rsidRPr="00B11B5D">
        <w:rPr>
          <w:snapToGrid w:val="0"/>
          <w:lang w:val="en-AU"/>
        </w:rPr>
        <w:t xml:space="preserve"> the next </w:t>
      </w:r>
      <w:r>
        <w:rPr>
          <w:snapToGrid w:val="0"/>
          <w:lang w:val="en-AU"/>
        </w:rPr>
        <w:t xml:space="preserve">APG </w:t>
      </w:r>
      <w:r w:rsidRPr="00B11B5D">
        <w:rPr>
          <w:snapToGrid w:val="0"/>
          <w:lang w:val="en-AU"/>
        </w:rPr>
        <w:t>meeting.</w:t>
      </w:r>
    </w:p>
    <w:p w14:paraId="5AA16B5F" w14:textId="166F3E6A" w:rsidR="00377FE4" w:rsidRPr="0058357F" w:rsidRDefault="00377FE4" w:rsidP="000D03BE">
      <w:pPr>
        <w:jc w:val="both"/>
        <w:rPr>
          <w:lang w:val="en-NZ" w:eastAsia="ko-KR"/>
        </w:rPr>
      </w:pPr>
    </w:p>
    <w:p w14:paraId="2E0E6771" w14:textId="29511832" w:rsidR="00930E64" w:rsidRPr="004145AA" w:rsidRDefault="00B64A60" w:rsidP="000D03BE">
      <w:pPr>
        <w:jc w:val="center"/>
        <w:rPr>
          <w:snapToGrid w:val="0"/>
          <w:lang w:val="en-NZ"/>
        </w:rPr>
      </w:pPr>
      <w:r w:rsidRPr="00710333">
        <w:rPr>
          <w:lang w:val="en-NZ"/>
        </w:rPr>
        <w:t>____________</w:t>
      </w:r>
    </w:p>
    <w:sectPr w:rsidR="00930E64" w:rsidRPr="004145AA" w:rsidSect="003B544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4" w:h="16834" w:code="9"/>
      <w:pgMar w:top="900" w:right="1184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E044C" w14:textId="77777777" w:rsidR="00346546" w:rsidRDefault="00346546">
      <w:r>
        <w:separator/>
      </w:r>
    </w:p>
  </w:endnote>
  <w:endnote w:type="continuationSeparator" w:id="0">
    <w:p w14:paraId="4F3D9471" w14:textId="77777777" w:rsidR="00346546" w:rsidRDefault="0034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E677A" w14:textId="77777777" w:rsidR="00A670B2" w:rsidRDefault="00A670B2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0E677B" w14:textId="77777777" w:rsidR="00A670B2" w:rsidRDefault="00A670B2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E677C" w14:textId="08C869F0" w:rsidR="00A670B2" w:rsidRDefault="00A670B2" w:rsidP="00067B56">
    <w:pPr>
      <w:pStyle w:val="Footer"/>
      <w:tabs>
        <w:tab w:val="clear" w:pos="4320"/>
        <w:tab w:val="clear" w:pos="8640"/>
        <w:tab w:val="right" w:pos="9090"/>
      </w:tabs>
      <w:ind w:right="-7"/>
      <w:jc w:val="right"/>
    </w:pPr>
    <w:r>
      <w:rPr>
        <w:lang w:eastAsia="ko-KR"/>
      </w:rPr>
      <w:tab/>
    </w: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E83443">
      <w:rPr>
        <w:rStyle w:val="PageNumber"/>
        <w:noProof/>
      </w:rPr>
      <w:t>4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E83443">
      <w:rPr>
        <w:rStyle w:val="PageNumber"/>
        <w:noProof/>
      </w:rPr>
      <w:t>4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260"/>
    </w:tblGrid>
    <w:tr w:rsidR="00A670B2" w14:paraId="61A28677" w14:textId="77777777" w:rsidTr="00067B56">
      <w:tc>
        <w:tcPr>
          <w:tcW w:w="9389" w:type="dxa"/>
        </w:tcPr>
        <w:p w14:paraId="7A9FDB07" w14:textId="77777777" w:rsidR="00A670B2" w:rsidRDefault="00A670B2" w:rsidP="00067B56">
          <w:pPr>
            <w:pStyle w:val="Footer"/>
            <w:tabs>
              <w:tab w:val="clear" w:pos="4320"/>
              <w:tab w:val="clear" w:pos="8640"/>
            </w:tabs>
          </w:pPr>
        </w:p>
      </w:tc>
    </w:tr>
  </w:tbl>
  <w:p w14:paraId="2E0E6781" w14:textId="77777777" w:rsidR="00A670B2" w:rsidRPr="004F2C0A" w:rsidRDefault="00A670B2" w:rsidP="00067B56">
    <w:pPr>
      <w:pStyle w:val="Footer"/>
      <w:tabs>
        <w:tab w:val="clear" w:pos="4320"/>
        <w:tab w:val="clear" w:pos="864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410C0" w14:textId="77777777" w:rsidR="00346546" w:rsidRDefault="00346546">
      <w:r>
        <w:separator/>
      </w:r>
    </w:p>
  </w:footnote>
  <w:footnote w:type="continuationSeparator" w:id="0">
    <w:p w14:paraId="22E596CD" w14:textId="77777777" w:rsidR="00346546" w:rsidRDefault="00346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E6779" w14:textId="7114BC1C" w:rsidR="00A670B2" w:rsidRPr="00776013" w:rsidRDefault="00776013" w:rsidP="00776013">
    <w:pPr>
      <w:pStyle w:val="Header"/>
      <w:tabs>
        <w:tab w:val="clear" w:pos="4320"/>
        <w:tab w:val="clear" w:pos="8640"/>
      </w:tabs>
      <w:jc w:val="center"/>
      <w:rPr>
        <w:lang w:eastAsia="ko-KR"/>
      </w:rPr>
    </w:pPr>
    <w:r w:rsidRPr="00776013">
      <w:rPr>
        <w:bCs/>
        <w:lang w:val="fr-FR"/>
      </w:rPr>
      <w:t>A</w:t>
    </w:r>
    <w:r w:rsidR="00544D0C">
      <w:rPr>
        <w:bCs/>
        <w:lang w:val="fr-FR"/>
      </w:rPr>
      <w:t>PG19-2/OUT-03</w:t>
    </w:r>
  </w:p>
  <w:p w14:paraId="58563308" w14:textId="77777777" w:rsidR="00A670B2" w:rsidRDefault="00A670B2" w:rsidP="004F2C0A">
    <w:pPr>
      <w:pStyle w:val="Header"/>
      <w:tabs>
        <w:tab w:val="clear" w:pos="4320"/>
        <w:tab w:val="clear" w:pos="8640"/>
      </w:tabs>
      <w:rPr>
        <w:lang w:eastAsia="ko-K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A6BC0" w14:textId="1B1C650B" w:rsidR="00776013" w:rsidRDefault="00776013">
    <w:pPr>
      <w:pStyle w:val="Header"/>
    </w:pPr>
  </w:p>
  <w:p w14:paraId="4047DB72" w14:textId="77777777" w:rsidR="00776013" w:rsidRDefault="007760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6128"/>
    <w:multiLevelType w:val="hybridMultilevel"/>
    <w:tmpl w:val="F316412E"/>
    <w:lvl w:ilvl="0" w:tplc="DE6C7288">
      <w:start w:val="1"/>
      <w:numFmt w:val="bullet"/>
      <w:lvlText w:val="•"/>
      <w:lvlJc w:val="left"/>
      <w:pPr>
        <w:tabs>
          <w:tab w:val="num" w:pos="238"/>
        </w:tabs>
        <w:ind w:left="238" w:hanging="360"/>
      </w:pPr>
      <w:rPr>
        <w:rFonts w:ascii="Arial" w:hAnsi="Arial" w:hint="default"/>
      </w:rPr>
    </w:lvl>
    <w:lvl w:ilvl="1" w:tplc="6EA2C836" w:tentative="1">
      <w:start w:val="1"/>
      <w:numFmt w:val="bullet"/>
      <w:lvlText w:val="•"/>
      <w:lvlJc w:val="left"/>
      <w:pPr>
        <w:tabs>
          <w:tab w:val="num" w:pos="958"/>
        </w:tabs>
        <w:ind w:left="958" w:hanging="360"/>
      </w:pPr>
      <w:rPr>
        <w:rFonts w:ascii="Arial" w:hAnsi="Arial" w:hint="default"/>
      </w:rPr>
    </w:lvl>
    <w:lvl w:ilvl="2" w:tplc="6832E5CC" w:tentative="1">
      <w:start w:val="1"/>
      <w:numFmt w:val="bullet"/>
      <w:lvlText w:val="•"/>
      <w:lvlJc w:val="left"/>
      <w:pPr>
        <w:tabs>
          <w:tab w:val="num" w:pos="1678"/>
        </w:tabs>
        <w:ind w:left="1678" w:hanging="360"/>
      </w:pPr>
      <w:rPr>
        <w:rFonts w:ascii="Arial" w:hAnsi="Arial" w:hint="default"/>
      </w:rPr>
    </w:lvl>
    <w:lvl w:ilvl="3" w:tplc="6AB40CC8" w:tentative="1">
      <w:start w:val="1"/>
      <w:numFmt w:val="bullet"/>
      <w:lvlText w:val="•"/>
      <w:lvlJc w:val="left"/>
      <w:pPr>
        <w:tabs>
          <w:tab w:val="num" w:pos="2398"/>
        </w:tabs>
        <w:ind w:left="2398" w:hanging="360"/>
      </w:pPr>
      <w:rPr>
        <w:rFonts w:ascii="Arial" w:hAnsi="Arial" w:hint="default"/>
      </w:rPr>
    </w:lvl>
    <w:lvl w:ilvl="4" w:tplc="D96EDA82" w:tentative="1">
      <w:start w:val="1"/>
      <w:numFmt w:val="bullet"/>
      <w:lvlText w:val="•"/>
      <w:lvlJc w:val="left"/>
      <w:pPr>
        <w:tabs>
          <w:tab w:val="num" w:pos="3118"/>
        </w:tabs>
        <w:ind w:left="3118" w:hanging="360"/>
      </w:pPr>
      <w:rPr>
        <w:rFonts w:ascii="Arial" w:hAnsi="Arial" w:hint="default"/>
      </w:rPr>
    </w:lvl>
    <w:lvl w:ilvl="5" w:tplc="36C8FD12" w:tentative="1">
      <w:start w:val="1"/>
      <w:numFmt w:val="bullet"/>
      <w:lvlText w:val="•"/>
      <w:lvlJc w:val="left"/>
      <w:pPr>
        <w:tabs>
          <w:tab w:val="num" w:pos="3838"/>
        </w:tabs>
        <w:ind w:left="3838" w:hanging="360"/>
      </w:pPr>
      <w:rPr>
        <w:rFonts w:ascii="Arial" w:hAnsi="Arial" w:hint="default"/>
      </w:rPr>
    </w:lvl>
    <w:lvl w:ilvl="6" w:tplc="2D44D2B8" w:tentative="1">
      <w:start w:val="1"/>
      <w:numFmt w:val="bullet"/>
      <w:lvlText w:val="•"/>
      <w:lvlJc w:val="left"/>
      <w:pPr>
        <w:tabs>
          <w:tab w:val="num" w:pos="4558"/>
        </w:tabs>
        <w:ind w:left="4558" w:hanging="360"/>
      </w:pPr>
      <w:rPr>
        <w:rFonts w:ascii="Arial" w:hAnsi="Arial" w:hint="default"/>
      </w:rPr>
    </w:lvl>
    <w:lvl w:ilvl="7" w:tplc="8CDC68D0" w:tentative="1">
      <w:start w:val="1"/>
      <w:numFmt w:val="bullet"/>
      <w:lvlText w:val="•"/>
      <w:lvlJc w:val="left"/>
      <w:pPr>
        <w:tabs>
          <w:tab w:val="num" w:pos="5278"/>
        </w:tabs>
        <w:ind w:left="5278" w:hanging="360"/>
      </w:pPr>
      <w:rPr>
        <w:rFonts w:ascii="Arial" w:hAnsi="Arial" w:hint="default"/>
      </w:rPr>
    </w:lvl>
    <w:lvl w:ilvl="8" w:tplc="726E7A04" w:tentative="1">
      <w:start w:val="1"/>
      <w:numFmt w:val="bullet"/>
      <w:lvlText w:val="•"/>
      <w:lvlJc w:val="left"/>
      <w:pPr>
        <w:tabs>
          <w:tab w:val="num" w:pos="5998"/>
        </w:tabs>
        <w:ind w:left="5998" w:hanging="360"/>
      </w:pPr>
      <w:rPr>
        <w:rFonts w:ascii="Arial" w:hAnsi="Arial" w:hint="default"/>
      </w:rPr>
    </w:lvl>
  </w:abstractNum>
  <w:abstractNum w:abstractNumId="1" w15:restartNumberingAfterBreak="0">
    <w:nsid w:val="08677B2B"/>
    <w:multiLevelType w:val="hybridMultilevel"/>
    <w:tmpl w:val="364C5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0B93429"/>
    <w:multiLevelType w:val="hybridMultilevel"/>
    <w:tmpl w:val="6A0E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A4015"/>
    <w:multiLevelType w:val="hybridMultilevel"/>
    <w:tmpl w:val="4BB6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67147"/>
    <w:multiLevelType w:val="hybridMultilevel"/>
    <w:tmpl w:val="1E9A70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8AF1C29"/>
    <w:multiLevelType w:val="hybridMultilevel"/>
    <w:tmpl w:val="FED2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0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5DD430C"/>
    <w:multiLevelType w:val="hybridMultilevel"/>
    <w:tmpl w:val="F01AAB4C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2" w15:restartNumberingAfterBreak="0">
    <w:nsid w:val="279242A1"/>
    <w:multiLevelType w:val="hybridMultilevel"/>
    <w:tmpl w:val="DB6C76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DE21C6"/>
    <w:multiLevelType w:val="hybridMultilevel"/>
    <w:tmpl w:val="9C9C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855E8"/>
    <w:multiLevelType w:val="hybridMultilevel"/>
    <w:tmpl w:val="B7D2812C"/>
    <w:lvl w:ilvl="0" w:tplc="CB74993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0536B"/>
    <w:multiLevelType w:val="hybridMultilevel"/>
    <w:tmpl w:val="E6B44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7463F"/>
    <w:multiLevelType w:val="hybridMultilevel"/>
    <w:tmpl w:val="D2B878D4"/>
    <w:lvl w:ilvl="0" w:tplc="148491A4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8" w15:restartNumberingAfterBreak="0">
    <w:nsid w:val="309914C6"/>
    <w:multiLevelType w:val="hybridMultilevel"/>
    <w:tmpl w:val="DA34B480"/>
    <w:lvl w:ilvl="0" w:tplc="004CD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9E2EB0"/>
    <w:multiLevelType w:val="hybridMultilevel"/>
    <w:tmpl w:val="6A7A2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3BBE1A4D"/>
    <w:multiLevelType w:val="hybridMultilevel"/>
    <w:tmpl w:val="8DB00EA8"/>
    <w:lvl w:ilvl="0" w:tplc="A114EBFA">
      <w:start w:val="1"/>
      <w:numFmt w:val="bullet"/>
      <w:lvlText w:val="-"/>
      <w:lvlJc w:val="left"/>
      <w:pPr>
        <w:ind w:left="28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</w:abstractNum>
  <w:abstractNum w:abstractNumId="23" w15:restartNumberingAfterBreak="0">
    <w:nsid w:val="3DFE080A"/>
    <w:multiLevelType w:val="hybridMultilevel"/>
    <w:tmpl w:val="55BA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14A06"/>
    <w:multiLevelType w:val="hybridMultilevel"/>
    <w:tmpl w:val="F3580F52"/>
    <w:lvl w:ilvl="0" w:tplc="7938DA14">
      <w:start w:val="1"/>
      <w:numFmt w:val="decimal"/>
      <w:lvlText w:val="%1."/>
      <w:lvlJc w:val="left"/>
      <w:pPr>
        <w:ind w:left="1680" w:hanging="960"/>
      </w:pPr>
      <w:rPr>
        <w:rFonts w:hint="default"/>
        <w:color w:val="0BD1D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C90C26"/>
    <w:multiLevelType w:val="multilevel"/>
    <w:tmpl w:val="A300A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A2A75"/>
    <w:multiLevelType w:val="hybridMultilevel"/>
    <w:tmpl w:val="FF7CC64C"/>
    <w:lvl w:ilvl="0" w:tplc="3348A84C">
      <w:start w:val="3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116D88"/>
    <w:multiLevelType w:val="hybridMultilevel"/>
    <w:tmpl w:val="A300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63BFD"/>
    <w:multiLevelType w:val="hybridMultilevel"/>
    <w:tmpl w:val="51CEB5CE"/>
    <w:lvl w:ilvl="0" w:tplc="CB74993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F05F1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92525"/>
    <w:multiLevelType w:val="hybridMultilevel"/>
    <w:tmpl w:val="4D982258"/>
    <w:lvl w:ilvl="0" w:tplc="E0804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4D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C1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E4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20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C5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2E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AF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E3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9095EA9"/>
    <w:multiLevelType w:val="hybridMultilevel"/>
    <w:tmpl w:val="965CC136"/>
    <w:lvl w:ilvl="0" w:tplc="D9788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0E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2C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85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CB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47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38E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26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2A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74F36918"/>
    <w:multiLevelType w:val="hybridMultilevel"/>
    <w:tmpl w:val="1F462B02"/>
    <w:lvl w:ilvl="0" w:tplc="5E1A8D2A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7A613B19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927656"/>
    <w:multiLevelType w:val="hybridMultilevel"/>
    <w:tmpl w:val="3AF8B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9"/>
  </w:num>
  <w:num w:numId="4">
    <w:abstractNumId w:val="34"/>
  </w:num>
  <w:num w:numId="5">
    <w:abstractNumId w:val="17"/>
  </w:num>
  <w:num w:numId="6">
    <w:abstractNumId w:val="21"/>
  </w:num>
  <w:num w:numId="7">
    <w:abstractNumId w:val="7"/>
  </w:num>
  <w:num w:numId="8">
    <w:abstractNumId w:val="2"/>
  </w:num>
  <w:num w:numId="9">
    <w:abstractNumId w:val="36"/>
  </w:num>
  <w:num w:numId="10">
    <w:abstractNumId w:val="31"/>
  </w:num>
  <w:num w:numId="11">
    <w:abstractNumId w:val="8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7"/>
  </w:num>
  <w:num w:numId="17">
    <w:abstractNumId w:val="30"/>
  </w:num>
  <w:num w:numId="18">
    <w:abstractNumId w:val="22"/>
  </w:num>
  <w:num w:numId="19">
    <w:abstractNumId w:val="35"/>
  </w:num>
  <w:num w:numId="20">
    <w:abstractNumId w:val="16"/>
  </w:num>
  <w:num w:numId="21">
    <w:abstractNumId w:val="29"/>
  </w:num>
  <w:num w:numId="22">
    <w:abstractNumId w:val="14"/>
  </w:num>
  <w:num w:numId="23">
    <w:abstractNumId w:val="11"/>
  </w:num>
  <w:num w:numId="24">
    <w:abstractNumId w:val="19"/>
  </w:num>
  <w:num w:numId="25">
    <w:abstractNumId w:val="15"/>
  </w:num>
  <w:num w:numId="26">
    <w:abstractNumId w:val="6"/>
  </w:num>
  <w:num w:numId="27">
    <w:abstractNumId w:val="32"/>
  </w:num>
  <w:num w:numId="28">
    <w:abstractNumId w:val="33"/>
  </w:num>
  <w:num w:numId="29">
    <w:abstractNumId w:val="0"/>
  </w:num>
  <w:num w:numId="30">
    <w:abstractNumId w:val="24"/>
  </w:num>
  <w:num w:numId="31">
    <w:abstractNumId w:val="18"/>
  </w:num>
  <w:num w:numId="32">
    <w:abstractNumId w:val="5"/>
  </w:num>
  <w:num w:numId="33">
    <w:abstractNumId w:val="13"/>
  </w:num>
  <w:num w:numId="34">
    <w:abstractNumId w:val="26"/>
  </w:num>
  <w:num w:numId="35">
    <w:abstractNumId w:val="27"/>
  </w:num>
  <w:num w:numId="36">
    <w:abstractNumId w:val="25"/>
  </w:num>
  <w:num w:numId="37">
    <w:abstractNumId w:val="23"/>
  </w:num>
  <w:num w:numId="38">
    <w:abstractNumId w:val="4"/>
  </w:num>
  <w:num w:numId="39">
    <w:abstractNumId w:val="3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10C8E"/>
    <w:rsid w:val="0003595B"/>
    <w:rsid w:val="00036517"/>
    <w:rsid w:val="00036CC9"/>
    <w:rsid w:val="00067B56"/>
    <w:rsid w:val="00070642"/>
    <w:rsid w:val="000713CF"/>
    <w:rsid w:val="00075C14"/>
    <w:rsid w:val="000822B5"/>
    <w:rsid w:val="00085AFA"/>
    <w:rsid w:val="00094B87"/>
    <w:rsid w:val="00097BEA"/>
    <w:rsid w:val="000A012B"/>
    <w:rsid w:val="000A26AA"/>
    <w:rsid w:val="000A5418"/>
    <w:rsid w:val="000B147A"/>
    <w:rsid w:val="000C59AB"/>
    <w:rsid w:val="000D03BE"/>
    <w:rsid w:val="000F345F"/>
    <w:rsid w:val="000F517C"/>
    <w:rsid w:val="000F5540"/>
    <w:rsid w:val="00105F1A"/>
    <w:rsid w:val="001409B2"/>
    <w:rsid w:val="00152636"/>
    <w:rsid w:val="001539DD"/>
    <w:rsid w:val="00156782"/>
    <w:rsid w:val="00163841"/>
    <w:rsid w:val="00170E28"/>
    <w:rsid w:val="001731F4"/>
    <w:rsid w:val="00190D73"/>
    <w:rsid w:val="00196568"/>
    <w:rsid w:val="00197C18"/>
    <w:rsid w:val="001A1D24"/>
    <w:rsid w:val="001A2F16"/>
    <w:rsid w:val="001A706F"/>
    <w:rsid w:val="001B1804"/>
    <w:rsid w:val="001B18C2"/>
    <w:rsid w:val="001B26A4"/>
    <w:rsid w:val="001C61A5"/>
    <w:rsid w:val="001C6707"/>
    <w:rsid w:val="001D5D7E"/>
    <w:rsid w:val="001E67D4"/>
    <w:rsid w:val="001F5947"/>
    <w:rsid w:val="001F6826"/>
    <w:rsid w:val="00202410"/>
    <w:rsid w:val="002051D0"/>
    <w:rsid w:val="00205956"/>
    <w:rsid w:val="002109A3"/>
    <w:rsid w:val="00212BDC"/>
    <w:rsid w:val="00214A0C"/>
    <w:rsid w:val="0021588B"/>
    <w:rsid w:val="002205BE"/>
    <w:rsid w:val="002216AC"/>
    <w:rsid w:val="002506D2"/>
    <w:rsid w:val="00250DE2"/>
    <w:rsid w:val="00254A1B"/>
    <w:rsid w:val="0026064A"/>
    <w:rsid w:val="0028433A"/>
    <w:rsid w:val="0028454D"/>
    <w:rsid w:val="00290840"/>
    <w:rsid w:val="00291C9E"/>
    <w:rsid w:val="002926D4"/>
    <w:rsid w:val="0029434B"/>
    <w:rsid w:val="002A49F6"/>
    <w:rsid w:val="002B06A3"/>
    <w:rsid w:val="002B435C"/>
    <w:rsid w:val="002B447F"/>
    <w:rsid w:val="002C03A2"/>
    <w:rsid w:val="002C07DA"/>
    <w:rsid w:val="002C2C72"/>
    <w:rsid w:val="002C7EA9"/>
    <w:rsid w:val="002E6986"/>
    <w:rsid w:val="002F575D"/>
    <w:rsid w:val="003065AB"/>
    <w:rsid w:val="003113D7"/>
    <w:rsid w:val="00311E8A"/>
    <w:rsid w:val="00320312"/>
    <w:rsid w:val="003271E9"/>
    <w:rsid w:val="00332D1E"/>
    <w:rsid w:val="00342F20"/>
    <w:rsid w:val="00346546"/>
    <w:rsid w:val="0034676E"/>
    <w:rsid w:val="00360377"/>
    <w:rsid w:val="00361369"/>
    <w:rsid w:val="00363B90"/>
    <w:rsid w:val="00366548"/>
    <w:rsid w:val="00373791"/>
    <w:rsid w:val="003767DD"/>
    <w:rsid w:val="00377FE4"/>
    <w:rsid w:val="003809C7"/>
    <w:rsid w:val="0038236C"/>
    <w:rsid w:val="00393AD7"/>
    <w:rsid w:val="00395B40"/>
    <w:rsid w:val="003A6533"/>
    <w:rsid w:val="003A6568"/>
    <w:rsid w:val="003B5440"/>
    <w:rsid w:val="003B6263"/>
    <w:rsid w:val="003C29E6"/>
    <w:rsid w:val="003C64A7"/>
    <w:rsid w:val="003D1671"/>
    <w:rsid w:val="003D3FDA"/>
    <w:rsid w:val="003D6D00"/>
    <w:rsid w:val="003E166F"/>
    <w:rsid w:val="004001E5"/>
    <w:rsid w:val="00407702"/>
    <w:rsid w:val="004145AA"/>
    <w:rsid w:val="0041509B"/>
    <w:rsid w:val="00420822"/>
    <w:rsid w:val="00420C74"/>
    <w:rsid w:val="00424451"/>
    <w:rsid w:val="00425ABD"/>
    <w:rsid w:val="004315BD"/>
    <w:rsid w:val="00443B23"/>
    <w:rsid w:val="004465AA"/>
    <w:rsid w:val="0045458F"/>
    <w:rsid w:val="004633B4"/>
    <w:rsid w:val="00470450"/>
    <w:rsid w:val="004A2F96"/>
    <w:rsid w:val="004A6AFB"/>
    <w:rsid w:val="004A7456"/>
    <w:rsid w:val="004B3553"/>
    <w:rsid w:val="004B3F4B"/>
    <w:rsid w:val="004D00AD"/>
    <w:rsid w:val="004D3F51"/>
    <w:rsid w:val="004E1355"/>
    <w:rsid w:val="004E15DF"/>
    <w:rsid w:val="004F2C0A"/>
    <w:rsid w:val="00503189"/>
    <w:rsid w:val="00507352"/>
    <w:rsid w:val="00526D01"/>
    <w:rsid w:val="00530E8C"/>
    <w:rsid w:val="0054118A"/>
    <w:rsid w:val="00544D0C"/>
    <w:rsid w:val="00545933"/>
    <w:rsid w:val="00552105"/>
    <w:rsid w:val="005562F2"/>
    <w:rsid w:val="00557544"/>
    <w:rsid w:val="00565BBB"/>
    <w:rsid w:val="0058357F"/>
    <w:rsid w:val="00584F72"/>
    <w:rsid w:val="00585F3C"/>
    <w:rsid w:val="00586CA0"/>
    <w:rsid w:val="00587347"/>
    <w:rsid w:val="00587875"/>
    <w:rsid w:val="0059360B"/>
    <w:rsid w:val="0059613F"/>
    <w:rsid w:val="005A0CCD"/>
    <w:rsid w:val="005A63EB"/>
    <w:rsid w:val="005B70C0"/>
    <w:rsid w:val="005C33B6"/>
    <w:rsid w:val="005D5E8F"/>
    <w:rsid w:val="005D6202"/>
    <w:rsid w:val="005D6E98"/>
    <w:rsid w:val="00607E2B"/>
    <w:rsid w:val="00611010"/>
    <w:rsid w:val="006139D6"/>
    <w:rsid w:val="00616D1B"/>
    <w:rsid w:val="00623CE1"/>
    <w:rsid w:val="00623EE1"/>
    <w:rsid w:val="0062698C"/>
    <w:rsid w:val="0063062B"/>
    <w:rsid w:val="00637351"/>
    <w:rsid w:val="00642930"/>
    <w:rsid w:val="00643544"/>
    <w:rsid w:val="00646166"/>
    <w:rsid w:val="00654896"/>
    <w:rsid w:val="006573AC"/>
    <w:rsid w:val="006614FF"/>
    <w:rsid w:val="006621F0"/>
    <w:rsid w:val="006647BA"/>
    <w:rsid w:val="00667229"/>
    <w:rsid w:val="00667C66"/>
    <w:rsid w:val="00671B40"/>
    <w:rsid w:val="00676E61"/>
    <w:rsid w:val="0068252D"/>
    <w:rsid w:val="00682BE5"/>
    <w:rsid w:val="00690FED"/>
    <w:rsid w:val="006939A5"/>
    <w:rsid w:val="006C6744"/>
    <w:rsid w:val="006D3852"/>
    <w:rsid w:val="006D5223"/>
    <w:rsid w:val="006E12FC"/>
    <w:rsid w:val="006E204A"/>
    <w:rsid w:val="006E4981"/>
    <w:rsid w:val="006E4B9E"/>
    <w:rsid w:val="006F2B2E"/>
    <w:rsid w:val="006F45DC"/>
    <w:rsid w:val="006F5237"/>
    <w:rsid w:val="00705962"/>
    <w:rsid w:val="00707C21"/>
    <w:rsid w:val="0071081C"/>
    <w:rsid w:val="00711E8E"/>
    <w:rsid w:val="00712451"/>
    <w:rsid w:val="00717DE9"/>
    <w:rsid w:val="0072518B"/>
    <w:rsid w:val="00731041"/>
    <w:rsid w:val="007329E4"/>
    <w:rsid w:val="00732F08"/>
    <w:rsid w:val="007342F0"/>
    <w:rsid w:val="00736E38"/>
    <w:rsid w:val="0074190C"/>
    <w:rsid w:val="00760403"/>
    <w:rsid w:val="00762576"/>
    <w:rsid w:val="007673CA"/>
    <w:rsid w:val="00776013"/>
    <w:rsid w:val="00780642"/>
    <w:rsid w:val="0078758A"/>
    <w:rsid w:val="00791060"/>
    <w:rsid w:val="00795D7D"/>
    <w:rsid w:val="007A15A2"/>
    <w:rsid w:val="007B5626"/>
    <w:rsid w:val="007B6124"/>
    <w:rsid w:val="007C0F4A"/>
    <w:rsid w:val="007D3C53"/>
    <w:rsid w:val="007F2628"/>
    <w:rsid w:val="007F2B78"/>
    <w:rsid w:val="007F2FBA"/>
    <w:rsid w:val="007F630E"/>
    <w:rsid w:val="00800C3A"/>
    <w:rsid w:val="0080570B"/>
    <w:rsid w:val="008148E1"/>
    <w:rsid w:val="00816E9E"/>
    <w:rsid w:val="00827552"/>
    <w:rsid w:val="00830D0F"/>
    <w:rsid w:val="008319BF"/>
    <w:rsid w:val="008433C2"/>
    <w:rsid w:val="00844457"/>
    <w:rsid w:val="008454C8"/>
    <w:rsid w:val="00851358"/>
    <w:rsid w:val="00851D78"/>
    <w:rsid w:val="00852E76"/>
    <w:rsid w:val="00880321"/>
    <w:rsid w:val="00882F26"/>
    <w:rsid w:val="008930C4"/>
    <w:rsid w:val="008A1A0D"/>
    <w:rsid w:val="008A76ED"/>
    <w:rsid w:val="008B3AE6"/>
    <w:rsid w:val="008B3C72"/>
    <w:rsid w:val="008D0E09"/>
    <w:rsid w:val="008D4D2D"/>
    <w:rsid w:val="008E7054"/>
    <w:rsid w:val="00903007"/>
    <w:rsid w:val="00923816"/>
    <w:rsid w:val="00925286"/>
    <w:rsid w:val="00927FF7"/>
    <w:rsid w:val="0093074B"/>
    <w:rsid w:val="00930E64"/>
    <w:rsid w:val="00940D14"/>
    <w:rsid w:val="00956F8C"/>
    <w:rsid w:val="00961D57"/>
    <w:rsid w:val="00976716"/>
    <w:rsid w:val="0097693B"/>
    <w:rsid w:val="00981B27"/>
    <w:rsid w:val="00993355"/>
    <w:rsid w:val="009963F7"/>
    <w:rsid w:val="009A4A6D"/>
    <w:rsid w:val="009B7E42"/>
    <w:rsid w:val="009D5C55"/>
    <w:rsid w:val="009E13DD"/>
    <w:rsid w:val="009E4C9D"/>
    <w:rsid w:val="009F42A5"/>
    <w:rsid w:val="00A00C37"/>
    <w:rsid w:val="00A0503B"/>
    <w:rsid w:val="00A06693"/>
    <w:rsid w:val="00A13265"/>
    <w:rsid w:val="00A14900"/>
    <w:rsid w:val="00A2159F"/>
    <w:rsid w:val="00A325EB"/>
    <w:rsid w:val="00A43C22"/>
    <w:rsid w:val="00A46FF3"/>
    <w:rsid w:val="00A500E1"/>
    <w:rsid w:val="00A529BC"/>
    <w:rsid w:val="00A5346C"/>
    <w:rsid w:val="00A562F0"/>
    <w:rsid w:val="00A564FB"/>
    <w:rsid w:val="00A60BB7"/>
    <w:rsid w:val="00A60D3B"/>
    <w:rsid w:val="00A614C1"/>
    <w:rsid w:val="00A61EA6"/>
    <w:rsid w:val="00A620E4"/>
    <w:rsid w:val="00A670B2"/>
    <w:rsid w:val="00A71136"/>
    <w:rsid w:val="00A76147"/>
    <w:rsid w:val="00AA474C"/>
    <w:rsid w:val="00AC2CDF"/>
    <w:rsid w:val="00AC35EF"/>
    <w:rsid w:val="00AC3F2D"/>
    <w:rsid w:val="00AD1246"/>
    <w:rsid w:val="00AD2697"/>
    <w:rsid w:val="00AD7398"/>
    <w:rsid w:val="00AD7E5F"/>
    <w:rsid w:val="00AE3066"/>
    <w:rsid w:val="00AF0E91"/>
    <w:rsid w:val="00AF68E4"/>
    <w:rsid w:val="00B00FD8"/>
    <w:rsid w:val="00B01AA1"/>
    <w:rsid w:val="00B30C81"/>
    <w:rsid w:val="00B4793B"/>
    <w:rsid w:val="00B60CFA"/>
    <w:rsid w:val="00B64A60"/>
    <w:rsid w:val="00B7014B"/>
    <w:rsid w:val="00B937D7"/>
    <w:rsid w:val="00B96B67"/>
    <w:rsid w:val="00BA05F7"/>
    <w:rsid w:val="00BA6B02"/>
    <w:rsid w:val="00BB67B0"/>
    <w:rsid w:val="00BC57EF"/>
    <w:rsid w:val="00BF25F9"/>
    <w:rsid w:val="00C11BDF"/>
    <w:rsid w:val="00C11EC3"/>
    <w:rsid w:val="00C13FD5"/>
    <w:rsid w:val="00C1463C"/>
    <w:rsid w:val="00C15633"/>
    <w:rsid w:val="00C15799"/>
    <w:rsid w:val="00C32E84"/>
    <w:rsid w:val="00C35415"/>
    <w:rsid w:val="00C357AD"/>
    <w:rsid w:val="00C446E1"/>
    <w:rsid w:val="00C54561"/>
    <w:rsid w:val="00C554CC"/>
    <w:rsid w:val="00C56173"/>
    <w:rsid w:val="00C6069C"/>
    <w:rsid w:val="00C74745"/>
    <w:rsid w:val="00C85119"/>
    <w:rsid w:val="00C94FDB"/>
    <w:rsid w:val="00CA74CA"/>
    <w:rsid w:val="00CB092B"/>
    <w:rsid w:val="00CB14AC"/>
    <w:rsid w:val="00CD320B"/>
    <w:rsid w:val="00CD3F37"/>
    <w:rsid w:val="00CD480E"/>
    <w:rsid w:val="00CD5431"/>
    <w:rsid w:val="00CD64FB"/>
    <w:rsid w:val="00CD779D"/>
    <w:rsid w:val="00CE0C41"/>
    <w:rsid w:val="00CE4B93"/>
    <w:rsid w:val="00CF2491"/>
    <w:rsid w:val="00CF3963"/>
    <w:rsid w:val="00CF61AB"/>
    <w:rsid w:val="00D1252E"/>
    <w:rsid w:val="00D13D9D"/>
    <w:rsid w:val="00D20E06"/>
    <w:rsid w:val="00D21266"/>
    <w:rsid w:val="00D23CEE"/>
    <w:rsid w:val="00D34FFD"/>
    <w:rsid w:val="00D459A2"/>
    <w:rsid w:val="00D506F8"/>
    <w:rsid w:val="00D530FF"/>
    <w:rsid w:val="00D53688"/>
    <w:rsid w:val="00D5407A"/>
    <w:rsid w:val="00D57772"/>
    <w:rsid w:val="00D72AE3"/>
    <w:rsid w:val="00D75A4D"/>
    <w:rsid w:val="00D82083"/>
    <w:rsid w:val="00D82310"/>
    <w:rsid w:val="00D8478B"/>
    <w:rsid w:val="00D86151"/>
    <w:rsid w:val="00D9172D"/>
    <w:rsid w:val="00D96F00"/>
    <w:rsid w:val="00DA7595"/>
    <w:rsid w:val="00DB0A68"/>
    <w:rsid w:val="00DB3A6F"/>
    <w:rsid w:val="00DC1C92"/>
    <w:rsid w:val="00DC43A3"/>
    <w:rsid w:val="00DC4CF3"/>
    <w:rsid w:val="00DC5C01"/>
    <w:rsid w:val="00DD0640"/>
    <w:rsid w:val="00DD7C09"/>
    <w:rsid w:val="00DF7D79"/>
    <w:rsid w:val="00E0124F"/>
    <w:rsid w:val="00E151A7"/>
    <w:rsid w:val="00E37913"/>
    <w:rsid w:val="00E40C58"/>
    <w:rsid w:val="00E572A5"/>
    <w:rsid w:val="00E674D3"/>
    <w:rsid w:val="00E70FD0"/>
    <w:rsid w:val="00E77C4B"/>
    <w:rsid w:val="00E83443"/>
    <w:rsid w:val="00E929CD"/>
    <w:rsid w:val="00E9301F"/>
    <w:rsid w:val="00E9690A"/>
    <w:rsid w:val="00E97DC7"/>
    <w:rsid w:val="00EA563B"/>
    <w:rsid w:val="00EA63FC"/>
    <w:rsid w:val="00F000EF"/>
    <w:rsid w:val="00F048B3"/>
    <w:rsid w:val="00F06066"/>
    <w:rsid w:val="00F2504E"/>
    <w:rsid w:val="00F25419"/>
    <w:rsid w:val="00F2585B"/>
    <w:rsid w:val="00F4053F"/>
    <w:rsid w:val="00F516E7"/>
    <w:rsid w:val="00F57BF7"/>
    <w:rsid w:val="00F6263E"/>
    <w:rsid w:val="00F627C2"/>
    <w:rsid w:val="00F63759"/>
    <w:rsid w:val="00F717AB"/>
    <w:rsid w:val="00F84067"/>
    <w:rsid w:val="00F947BD"/>
    <w:rsid w:val="00FA00C3"/>
    <w:rsid w:val="00FA1C35"/>
    <w:rsid w:val="00FA50B4"/>
    <w:rsid w:val="00FA6866"/>
    <w:rsid w:val="00FB786D"/>
    <w:rsid w:val="00FB7B01"/>
    <w:rsid w:val="00FC156A"/>
    <w:rsid w:val="00FD6235"/>
    <w:rsid w:val="00FE3DE5"/>
    <w:rsid w:val="00FF0194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E672F"/>
  <w15:docId w15:val="{F5F6A151-5486-4FAE-AE6E-C9BFC256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50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DE2"/>
    <w:rPr>
      <w:rFonts w:ascii="Tahoma" w:eastAsia="BatangChe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64A6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540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407A"/>
    <w:rPr>
      <w:rFonts w:eastAsia="BatangChe"/>
    </w:rPr>
  </w:style>
  <w:style w:type="character" w:styleId="FootnoteReference">
    <w:name w:val="footnote reference"/>
    <w:basedOn w:val="DefaultParagraphFont"/>
    <w:semiHidden/>
    <w:unhideWhenUsed/>
    <w:rsid w:val="00D5407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E4B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4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4B93"/>
    <w:rPr>
      <w:rFonts w:eastAsia="BatangCh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4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4B93"/>
    <w:rPr>
      <w:rFonts w:eastAsia="BatangChe"/>
      <w:b/>
      <w:bCs/>
    </w:rPr>
  </w:style>
  <w:style w:type="table" w:styleId="TableGrid">
    <w:name w:val="Table Grid"/>
    <w:basedOn w:val="TableNormal"/>
    <w:rsid w:val="0006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Normal"/>
    <w:next w:val="Normal"/>
    <w:link w:val="Tabletitle0"/>
    <w:uiPriority w:val="99"/>
    <w:rsid w:val="00320312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Times New Roman" w:hAnsi="Times New Roman Bold"/>
      <w:b/>
      <w:sz w:val="20"/>
      <w:szCs w:val="20"/>
      <w:lang w:val="en-GB"/>
    </w:rPr>
  </w:style>
  <w:style w:type="character" w:customStyle="1" w:styleId="Tabletitle0">
    <w:name w:val="Table_title Знак"/>
    <w:link w:val="Tabletitle"/>
    <w:uiPriority w:val="99"/>
    <w:locked/>
    <w:rsid w:val="00320312"/>
    <w:rPr>
      <w:rFonts w:ascii="Times New Roman Bold" w:eastAsia="Times New Roman" w:hAnsi="Times New Roman Bold"/>
      <w:b/>
      <w:lang w:val="en-GB"/>
    </w:rPr>
  </w:style>
  <w:style w:type="paragraph" w:customStyle="1" w:styleId="Tabletext">
    <w:name w:val="Table_text"/>
    <w:basedOn w:val="Normal"/>
    <w:link w:val="TabletextChar"/>
    <w:rsid w:val="0032031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  <w:szCs w:val="20"/>
      <w:lang w:val="en-GB"/>
    </w:rPr>
  </w:style>
  <w:style w:type="character" w:customStyle="1" w:styleId="TabletextChar">
    <w:name w:val="Table_text Char"/>
    <w:link w:val="Tabletext"/>
    <w:locked/>
    <w:rsid w:val="00320312"/>
    <w:rPr>
      <w:rFonts w:eastAsia="Times New Roman"/>
      <w:lang w:val="en-GB"/>
    </w:rPr>
  </w:style>
  <w:style w:type="paragraph" w:customStyle="1" w:styleId="Tablehead">
    <w:name w:val="Table_head"/>
    <w:basedOn w:val="Normal"/>
    <w:link w:val="TableheadChar"/>
    <w:uiPriority w:val="99"/>
    <w:rsid w:val="00320312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 Bold" w:eastAsia="Times New Roman" w:hAnsi="Times New Roman Bold" w:cs="Times New Roman Bold"/>
      <w:b/>
      <w:sz w:val="20"/>
      <w:szCs w:val="20"/>
      <w:lang w:val="en-GB"/>
    </w:rPr>
  </w:style>
  <w:style w:type="character" w:customStyle="1" w:styleId="TableheadChar">
    <w:name w:val="Table_head Char"/>
    <w:link w:val="Tablehead"/>
    <w:uiPriority w:val="99"/>
    <w:locked/>
    <w:rsid w:val="00320312"/>
    <w:rPr>
      <w:rFonts w:ascii="Times New Roman Bold" w:eastAsia="Times New Roman" w:hAnsi="Times New Roman Bold" w:cs="Times New Roman Bold"/>
      <w:b/>
      <w:lang w:val="en-GB"/>
    </w:rPr>
  </w:style>
  <w:style w:type="paragraph" w:styleId="NormalWeb">
    <w:name w:val="Normal (Web)"/>
    <w:basedOn w:val="Normal"/>
    <w:uiPriority w:val="99"/>
    <w:unhideWhenUsed/>
    <w:rsid w:val="0059360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76013"/>
    <w:rPr>
      <w:rFonts w:eastAsia="BatangCh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6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5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2F8C-FF33-4E47-80F5-777657D3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APT</Company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9</cp:revision>
  <cp:lastPrinted>2015-02-02T07:28:00Z</cp:lastPrinted>
  <dcterms:created xsi:type="dcterms:W3CDTF">2017-07-20T10:24:00Z</dcterms:created>
  <dcterms:modified xsi:type="dcterms:W3CDTF">2017-07-24T02:12:00Z</dcterms:modified>
</cp:coreProperties>
</file>