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891D0B" w14:paraId="73E4C0C3" w14:textId="77777777" w:rsidTr="007D7378">
        <w:trPr>
          <w:cantSplit/>
        </w:trPr>
        <w:tc>
          <w:tcPr>
            <w:tcW w:w="1399" w:type="dxa"/>
            <w:vMerge w:val="restart"/>
          </w:tcPr>
          <w:p w14:paraId="41AAFC28" w14:textId="77777777" w:rsidR="00CF3963" w:rsidRPr="00891D0B" w:rsidRDefault="00CF3963" w:rsidP="007D7378">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808B352" wp14:editId="40D430FF">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57986C63" w14:textId="77777777" w:rsidR="00CF3963" w:rsidRPr="00891D0B" w:rsidRDefault="00CF3963" w:rsidP="007D7378">
            <w:r w:rsidRPr="00096326">
              <w:t>ASIA-PACIFIC TELECOMMUNITY</w:t>
            </w:r>
          </w:p>
        </w:tc>
        <w:tc>
          <w:tcPr>
            <w:tcW w:w="2700" w:type="dxa"/>
          </w:tcPr>
          <w:p w14:paraId="0D82F459" w14:textId="77777777" w:rsidR="00CF3963" w:rsidRPr="00096326" w:rsidRDefault="00CF3963" w:rsidP="007D7378">
            <w:pPr>
              <w:rPr>
                <w:b/>
                <w:bCs/>
                <w:lang w:val="fr-FR"/>
              </w:rPr>
            </w:pPr>
            <w:r w:rsidRPr="00C15799">
              <w:rPr>
                <w:b/>
                <w:lang w:val="fr-FR"/>
              </w:rPr>
              <w:t>Document</w:t>
            </w:r>
            <w:r>
              <w:rPr>
                <w:b/>
                <w:lang w:val="fr-FR"/>
              </w:rPr>
              <w:t xml:space="preserve">: </w:t>
            </w:r>
          </w:p>
        </w:tc>
      </w:tr>
      <w:tr w:rsidR="00CF3963" w:rsidRPr="00C15799" w14:paraId="448FBFF1" w14:textId="77777777" w:rsidTr="007D7378">
        <w:trPr>
          <w:cantSplit/>
        </w:trPr>
        <w:tc>
          <w:tcPr>
            <w:tcW w:w="1399" w:type="dxa"/>
            <w:vMerge/>
          </w:tcPr>
          <w:p w14:paraId="29C3EF27" w14:textId="77777777" w:rsidR="00CF3963" w:rsidRPr="00891D0B" w:rsidRDefault="00CF3963" w:rsidP="007D7378"/>
        </w:tc>
        <w:tc>
          <w:tcPr>
            <w:tcW w:w="5720" w:type="dxa"/>
          </w:tcPr>
          <w:p w14:paraId="5CBA7DD0" w14:textId="77777777" w:rsidR="00CF3963" w:rsidRPr="00891D0B" w:rsidRDefault="00CF3963" w:rsidP="007D7378">
            <w:pPr>
              <w:spacing w:line="0" w:lineRule="atLeast"/>
            </w:pPr>
            <w:r>
              <w:rPr>
                <w:b/>
              </w:rPr>
              <w:t>The 2nd Meeting of the APT Conference Preparatory  Group for WRC-19 (APG19-2)</w:t>
            </w:r>
          </w:p>
        </w:tc>
        <w:tc>
          <w:tcPr>
            <w:tcW w:w="2700" w:type="dxa"/>
          </w:tcPr>
          <w:p w14:paraId="79797BCF" w14:textId="6ECE3975" w:rsidR="00CF3963" w:rsidRPr="00C15799" w:rsidRDefault="00CF3963" w:rsidP="00311E8A">
            <w:pPr>
              <w:rPr>
                <w:b/>
                <w:bCs/>
                <w:lang w:val="fr-FR"/>
              </w:rPr>
            </w:pPr>
            <w:r>
              <w:rPr>
                <w:b/>
                <w:bCs/>
                <w:lang w:val="fr-FR"/>
              </w:rPr>
              <w:t>APG19-2/</w:t>
            </w:r>
            <w:r w:rsidR="009B24E9">
              <w:rPr>
                <w:b/>
                <w:bCs/>
                <w:lang w:val="fr-FR"/>
              </w:rPr>
              <w:t>OUT-08</w:t>
            </w:r>
          </w:p>
        </w:tc>
      </w:tr>
      <w:tr w:rsidR="00CF3963" w:rsidRPr="00891D0B" w14:paraId="53A9E6D1" w14:textId="77777777" w:rsidTr="007D7378">
        <w:trPr>
          <w:cantSplit/>
          <w:trHeight w:val="219"/>
        </w:trPr>
        <w:tc>
          <w:tcPr>
            <w:tcW w:w="1399" w:type="dxa"/>
            <w:vMerge/>
          </w:tcPr>
          <w:p w14:paraId="59C3513F" w14:textId="77777777" w:rsidR="00CF3963" w:rsidRPr="00C15799" w:rsidRDefault="00CF3963" w:rsidP="007D7378">
            <w:pPr>
              <w:rPr>
                <w:lang w:val="fr-FR"/>
              </w:rPr>
            </w:pPr>
          </w:p>
        </w:tc>
        <w:tc>
          <w:tcPr>
            <w:tcW w:w="5720" w:type="dxa"/>
          </w:tcPr>
          <w:p w14:paraId="3510CFC7" w14:textId="77777777" w:rsidR="00CF3963" w:rsidRPr="00891D0B" w:rsidRDefault="00CF3963" w:rsidP="007D7378">
            <w:r>
              <w:t>17 – 21 July 2017</w:t>
            </w:r>
            <w:r w:rsidRPr="00891D0B">
              <w:t xml:space="preserve">, </w:t>
            </w:r>
            <w:r>
              <w:t>Bali, Republic of Indonesia</w:t>
            </w:r>
          </w:p>
        </w:tc>
        <w:tc>
          <w:tcPr>
            <w:tcW w:w="2700" w:type="dxa"/>
          </w:tcPr>
          <w:p w14:paraId="60FFE2BA" w14:textId="07651E20" w:rsidR="00CF3963" w:rsidRPr="00712451" w:rsidRDefault="00992679" w:rsidP="007D7378">
            <w:pPr>
              <w:rPr>
                <w:b/>
              </w:rPr>
            </w:pPr>
            <w:r>
              <w:rPr>
                <w:b/>
              </w:rPr>
              <w:t>21</w:t>
            </w:r>
            <w:r w:rsidR="00CF3963">
              <w:rPr>
                <w:b/>
              </w:rPr>
              <w:t xml:space="preserve"> July 2017</w:t>
            </w:r>
          </w:p>
        </w:tc>
      </w:tr>
    </w:tbl>
    <w:p w14:paraId="2E0E673C" w14:textId="77777777" w:rsidR="00D13D9D" w:rsidRDefault="00D13D9D" w:rsidP="00DA7595">
      <w:pPr>
        <w:rPr>
          <w:lang w:val="en-NZ" w:eastAsia="ko-KR"/>
        </w:rPr>
      </w:pPr>
    </w:p>
    <w:p w14:paraId="6405D881" w14:textId="77777777" w:rsidR="0055765B" w:rsidRPr="007673CA" w:rsidRDefault="0055765B" w:rsidP="0055765B">
      <w:pPr>
        <w:jc w:val="center"/>
        <w:rPr>
          <w:lang w:val="en-NZ" w:eastAsia="ko-KR"/>
        </w:rPr>
      </w:pPr>
    </w:p>
    <w:p w14:paraId="2E0E6744" w14:textId="44420B60" w:rsidR="00B64A60" w:rsidRPr="00FB5173" w:rsidRDefault="00992679" w:rsidP="00B64A60">
      <w:pPr>
        <w:jc w:val="center"/>
        <w:rPr>
          <w:lang w:val="en-NZ" w:eastAsia="ko-KR"/>
        </w:rPr>
      </w:pPr>
      <w:r w:rsidRPr="00FB5173">
        <w:rPr>
          <w:lang w:val="en-NZ" w:eastAsia="ko-KR"/>
        </w:rPr>
        <w:t>Working Party 3</w:t>
      </w:r>
    </w:p>
    <w:p w14:paraId="2E0E6745" w14:textId="77777777" w:rsidR="00B64A60" w:rsidRPr="00311E8A" w:rsidRDefault="00B64A60" w:rsidP="00B64A60">
      <w:pPr>
        <w:jc w:val="center"/>
        <w:rPr>
          <w:b/>
          <w:bCs/>
          <w:caps/>
          <w:lang w:val="en-NZ"/>
        </w:rPr>
      </w:pPr>
    </w:p>
    <w:p w14:paraId="2E0E6746" w14:textId="707D8BFF" w:rsidR="00B64A60" w:rsidRPr="00311E8A" w:rsidRDefault="00B64A60" w:rsidP="00B64A60">
      <w:pPr>
        <w:jc w:val="center"/>
        <w:rPr>
          <w:b/>
          <w:bCs/>
          <w:caps/>
          <w:lang w:val="en-NZ"/>
        </w:rPr>
      </w:pPr>
      <w:r w:rsidRPr="00311E8A">
        <w:rPr>
          <w:b/>
          <w:bCs/>
          <w:caps/>
          <w:lang w:val="en-NZ"/>
        </w:rPr>
        <w:t xml:space="preserve">PRELIMINARY VIEWs on </w:t>
      </w:r>
      <w:r w:rsidR="0055765B">
        <w:rPr>
          <w:b/>
          <w:bCs/>
          <w:caps/>
          <w:lang w:val="en-NZ"/>
        </w:rPr>
        <w:t xml:space="preserve">WRC-19 agenda item 9.1 </w:t>
      </w:r>
      <w:r w:rsidR="00FB5173">
        <w:rPr>
          <w:b/>
          <w:bCs/>
          <w:caps/>
          <w:lang w:val="en-NZ"/>
        </w:rPr>
        <w:t>(</w:t>
      </w:r>
      <w:r w:rsidR="0055765B">
        <w:rPr>
          <w:b/>
          <w:bCs/>
          <w:caps/>
          <w:lang w:val="en-NZ"/>
        </w:rPr>
        <w:t>Issue 9.1.3</w:t>
      </w:r>
      <w:r w:rsidR="00FB5173">
        <w:rPr>
          <w:b/>
          <w:bCs/>
          <w:caps/>
          <w:lang w:val="en-NZ"/>
        </w:rPr>
        <w:t>)</w:t>
      </w:r>
    </w:p>
    <w:p w14:paraId="2E0E6747" w14:textId="77777777" w:rsidR="00B64A60" w:rsidRPr="0055765B" w:rsidRDefault="00B64A60" w:rsidP="00B64A60">
      <w:pPr>
        <w:rPr>
          <w:lang w:val="en-NZ"/>
        </w:rPr>
      </w:pPr>
    </w:p>
    <w:p w14:paraId="3F098B91" w14:textId="77777777" w:rsidR="00C95102" w:rsidRDefault="00C95102" w:rsidP="00C0794D">
      <w:pPr>
        <w:spacing w:afterLines="50" w:after="120"/>
        <w:rPr>
          <w:b/>
        </w:rPr>
      </w:pPr>
    </w:p>
    <w:p w14:paraId="5DFDBD46" w14:textId="77777777" w:rsidR="00C23277" w:rsidRDefault="00C23277" w:rsidP="00C0794D">
      <w:pPr>
        <w:spacing w:afterLines="50" w:after="120"/>
      </w:pPr>
      <w:r>
        <w:rPr>
          <w:b/>
        </w:rPr>
        <w:t xml:space="preserve">Agenda item 9.1 - Issue 9.1.3: </w:t>
      </w:r>
    </w:p>
    <w:p w14:paraId="2E0E674A" w14:textId="712AE106" w:rsidR="00B64A60" w:rsidRPr="000F0113" w:rsidRDefault="0055765B" w:rsidP="000F0113">
      <w:pPr>
        <w:spacing w:after="100" w:afterAutospacing="1"/>
        <w:rPr>
          <w:rFonts w:eastAsia="Times New Roman"/>
          <w:b/>
          <w:i/>
          <w:lang w:val="en-GB" w:bidi="en-US"/>
        </w:rPr>
      </w:pPr>
      <w:proofErr w:type="gramStart"/>
      <w:r w:rsidRPr="0055765B">
        <w:rPr>
          <w:rFonts w:eastAsia="Times New Roman"/>
          <w:i/>
          <w:lang w:val="en-GB" w:bidi="en-US"/>
        </w:rPr>
        <w:t>to</w:t>
      </w:r>
      <w:proofErr w:type="gramEnd"/>
      <w:r w:rsidRPr="0055765B">
        <w:rPr>
          <w:rFonts w:eastAsia="Times New Roman"/>
          <w:i/>
          <w:lang w:val="en-GB" w:bidi="en-US"/>
        </w:rPr>
        <w:t xml:space="preserve"> study  technical and operational issues and regulatory provisions for new </w:t>
      </w:r>
      <w:bookmarkStart w:id="0" w:name="OLE_LINK30"/>
      <w:bookmarkStart w:id="1" w:name="OLE_LINK31"/>
      <w:r w:rsidRPr="0055765B">
        <w:rPr>
          <w:rFonts w:eastAsia="Times New Roman"/>
          <w:i/>
          <w:lang w:val="en-GB" w:bidi="en-US"/>
        </w:rPr>
        <w:t>non-geostationary-satellite orbit systems</w:t>
      </w:r>
      <w:bookmarkEnd w:id="0"/>
      <w:bookmarkEnd w:id="1"/>
      <w:r w:rsidRPr="0055765B">
        <w:rPr>
          <w:rFonts w:eastAsia="Times New Roman"/>
          <w:i/>
          <w:lang w:val="en-GB" w:bidi="en-US"/>
        </w:rPr>
        <w:t xml:space="preserve"> in the 3 700-4 200 MHz, 4 500-4 800 MHz, 5 925-6 425 MHz and 6 725-7 025 MHz frequency bands allocated to the fixed-satellite service</w:t>
      </w:r>
      <w:r>
        <w:rPr>
          <w:rFonts w:eastAsia="Times New Roman"/>
          <w:i/>
          <w:lang w:val="en-GB" w:bidi="en-US"/>
        </w:rPr>
        <w:t>,</w:t>
      </w:r>
      <w:r>
        <w:rPr>
          <w:rFonts w:hint="eastAsia"/>
          <w:i/>
          <w:lang w:eastAsia="ko-KR"/>
        </w:rPr>
        <w:t xml:space="preserve"> </w:t>
      </w:r>
      <w:r w:rsidRPr="00021FD4">
        <w:rPr>
          <w:i/>
        </w:rPr>
        <w:t xml:space="preserve">in accordance with Resolution </w:t>
      </w:r>
      <w:r w:rsidRPr="00424E67">
        <w:rPr>
          <w:b/>
          <w:i/>
        </w:rPr>
        <w:t>15</w:t>
      </w:r>
      <w:r>
        <w:rPr>
          <w:rFonts w:hint="eastAsia"/>
          <w:b/>
          <w:i/>
          <w:lang w:eastAsia="ko-KR"/>
        </w:rPr>
        <w:t>7</w:t>
      </w:r>
      <w:r w:rsidRPr="00424E67">
        <w:rPr>
          <w:b/>
          <w:i/>
        </w:rPr>
        <w:t xml:space="preserve"> (WRC-15)</w:t>
      </w:r>
      <w:r w:rsidRPr="0055765B">
        <w:rPr>
          <w:rFonts w:eastAsia="Times New Roman"/>
          <w:i/>
          <w:lang w:val="en-GB" w:bidi="en-US"/>
        </w:rPr>
        <w:t>.</w:t>
      </w:r>
    </w:p>
    <w:p w14:paraId="2E0E674B" w14:textId="0812760D" w:rsidR="00B64A60" w:rsidRPr="00710333" w:rsidRDefault="00B64A60" w:rsidP="00B64A60">
      <w:pPr>
        <w:spacing w:after="120"/>
        <w:jc w:val="both"/>
        <w:rPr>
          <w:b/>
          <w:lang w:val="en-NZ" w:eastAsia="ko-KR"/>
        </w:rPr>
      </w:pPr>
      <w:r w:rsidRPr="00710333">
        <w:rPr>
          <w:b/>
          <w:lang w:val="en-NZ" w:eastAsia="ko-KR"/>
        </w:rPr>
        <w:t xml:space="preserve">1. </w:t>
      </w:r>
      <w:r>
        <w:rPr>
          <w:b/>
          <w:lang w:val="en-NZ" w:eastAsia="ko-KR"/>
        </w:rPr>
        <w:tab/>
      </w:r>
      <w:r w:rsidRPr="00710333">
        <w:rPr>
          <w:b/>
          <w:lang w:val="en-NZ" w:eastAsia="ko-KR"/>
        </w:rPr>
        <w:t>Background</w:t>
      </w:r>
    </w:p>
    <w:p w14:paraId="59C0FD7F" w14:textId="1062F2A0" w:rsidR="0055765B" w:rsidRDefault="005B395A" w:rsidP="0055765B">
      <w:r w:rsidRPr="001D33F8">
        <w:t xml:space="preserve">WRC-19 agenda item 9.1, </w:t>
      </w:r>
      <w:r>
        <w:t>i</w:t>
      </w:r>
      <w:r w:rsidRPr="001D33F8">
        <w:t xml:space="preserve">ssue 9.1.3, in accordance with Resolution </w:t>
      </w:r>
      <w:r w:rsidRPr="001D33F8">
        <w:rPr>
          <w:b/>
        </w:rPr>
        <w:t>157 (WRC-15)</w:t>
      </w:r>
      <w:r w:rsidRPr="00373F53">
        <w:rPr>
          <w:bCs/>
        </w:rPr>
        <w:t>,</w:t>
      </w:r>
      <w:r w:rsidRPr="001D33F8">
        <w:t xml:space="preserve"> invites </w:t>
      </w:r>
      <w:r>
        <w:t>ITU-R</w:t>
      </w:r>
      <w:r w:rsidRPr="001D33F8">
        <w:t xml:space="preserve"> to study technical and operational issues and regulatory provisions </w:t>
      </w:r>
      <w:r>
        <w:t xml:space="preserve">for </w:t>
      </w:r>
      <w:r w:rsidRPr="001D33F8">
        <w:t xml:space="preserve">new circular-orbit </w:t>
      </w:r>
      <w:r w:rsidRPr="005B395A">
        <w:t>non-geostationary-satellite orbit</w:t>
      </w:r>
      <w:r>
        <w:t xml:space="preserve"> (</w:t>
      </w:r>
      <w:r w:rsidRPr="001D33F8">
        <w:t>non-GSO</w:t>
      </w:r>
      <w:r>
        <w:t>)</w:t>
      </w:r>
      <w:r w:rsidRPr="005B395A">
        <w:t xml:space="preserve"> systems </w:t>
      </w:r>
      <w:r w:rsidRPr="001D33F8">
        <w:t>in the 3 700-4 200 MHz, 4 500-4 800 MHz, 5 925-6 425 MHz, and 6 725-7 025 MHz</w:t>
      </w:r>
      <w:r>
        <w:t xml:space="preserve"> </w:t>
      </w:r>
      <w:r w:rsidRPr="001D33F8">
        <w:t xml:space="preserve">frequency bands allocated to the fixed-satellite service (FSS), while ensuring protection of </w:t>
      </w:r>
      <w:r>
        <w:t>existing service</w:t>
      </w:r>
      <w:r w:rsidR="0046170C">
        <w:t>s</w:t>
      </w:r>
      <w:r w:rsidRPr="001D33F8">
        <w:t>.</w:t>
      </w:r>
    </w:p>
    <w:p w14:paraId="0F2354A0" w14:textId="77777777" w:rsidR="005B395A" w:rsidRDefault="005B395A" w:rsidP="005B395A">
      <w:pPr>
        <w:jc w:val="both"/>
        <w:rPr>
          <w:rFonts w:eastAsiaTheme="minorEastAsia"/>
          <w:lang w:eastAsia="ja-JP"/>
        </w:rPr>
      </w:pPr>
    </w:p>
    <w:p w14:paraId="59722D07" w14:textId="1B1DC76E" w:rsidR="005B395A" w:rsidRPr="005B395A" w:rsidRDefault="00CC4D71" w:rsidP="005B395A">
      <w:pPr>
        <w:rPr>
          <w:lang w:val="en-NZ"/>
        </w:rPr>
      </w:pPr>
      <w:r w:rsidRPr="00CC4D71">
        <w:rPr>
          <w:lang w:val="en-NZ"/>
        </w:rPr>
        <w:t>Working Party 4A (WP</w:t>
      </w:r>
      <w:r>
        <w:rPr>
          <w:lang w:val="en-NZ"/>
        </w:rPr>
        <w:t xml:space="preserve"> </w:t>
      </w:r>
      <w:r w:rsidRPr="00CC4D71">
        <w:rPr>
          <w:lang w:val="en-NZ"/>
        </w:rPr>
        <w:t xml:space="preserve">4A) has been identified as the responsible ITU-R group for the studies on WRC-15 Agenda item 9.1, issue 9.1.3. </w:t>
      </w:r>
      <w:r w:rsidR="0046170C">
        <w:rPr>
          <w:lang w:val="en-NZ"/>
        </w:rPr>
        <w:t>At</w:t>
      </w:r>
      <w:r w:rsidR="0046170C" w:rsidRPr="00CC4D71">
        <w:rPr>
          <w:lang w:val="en-NZ"/>
        </w:rPr>
        <w:t xml:space="preserve"> </w:t>
      </w:r>
      <w:r w:rsidRPr="00CC4D71">
        <w:rPr>
          <w:lang w:val="en-NZ"/>
        </w:rPr>
        <w:t>its l</w:t>
      </w:r>
      <w:r>
        <w:rPr>
          <w:lang w:val="en-NZ"/>
        </w:rPr>
        <w:t>atest WP4A meeting in May 2017</w:t>
      </w:r>
      <w:r w:rsidR="005B395A" w:rsidRPr="005B395A">
        <w:rPr>
          <w:lang w:val="en-NZ"/>
        </w:rPr>
        <w:t xml:space="preserve">, following documents </w:t>
      </w:r>
      <w:r>
        <w:rPr>
          <w:lang w:val="en-NZ"/>
        </w:rPr>
        <w:t>were</w:t>
      </w:r>
      <w:r w:rsidR="005B395A" w:rsidRPr="005B395A">
        <w:rPr>
          <w:lang w:val="en-NZ"/>
        </w:rPr>
        <w:t xml:space="preserve"> </w:t>
      </w:r>
      <w:r>
        <w:rPr>
          <w:lang w:val="en-NZ"/>
        </w:rPr>
        <w:t>developed</w:t>
      </w:r>
      <w:r w:rsidR="005B395A" w:rsidRPr="005B395A">
        <w:rPr>
          <w:lang w:val="en-NZ"/>
        </w:rPr>
        <w:t>:</w:t>
      </w:r>
    </w:p>
    <w:p w14:paraId="0C365A82" w14:textId="0F2B2722" w:rsidR="005B395A" w:rsidRPr="005B395A" w:rsidRDefault="005B395A" w:rsidP="005B395A">
      <w:pPr>
        <w:numPr>
          <w:ilvl w:val="0"/>
          <w:numId w:val="18"/>
        </w:numPr>
        <w:ind w:leftChars="145" w:left="708"/>
        <w:rPr>
          <w:lang w:val="en-NZ"/>
        </w:rPr>
      </w:pPr>
      <w:r>
        <w:rPr>
          <w:lang w:val="en-NZ"/>
        </w:rPr>
        <w:t>Working d</w:t>
      </w:r>
      <w:r w:rsidRPr="005B395A">
        <w:rPr>
          <w:lang w:val="en-NZ"/>
        </w:rPr>
        <w:t>ocument towards a preliminary draft new Report ITU-R S.[NGSO_6/4-</w:t>
      </w:r>
      <w:r>
        <w:rPr>
          <w:lang w:val="en-NZ"/>
        </w:rPr>
        <w:t xml:space="preserve">GHz] </w:t>
      </w:r>
      <w:r w:rsidR="004B05F6">
        <w:rPr>
          <w:rFonts w:eastAsia="SimSun" w:hint="eastAsia"/>
          <w:lang w:eastAsia="zh-CN"/>
        </w:rPr>
        <w:t>(Annex 17 to document 4A/364)</w:t>
      </w:r>
      <w:r w:rsidR="004B05F6">
        <w:rPr>
          <w:rFonts w:eastAsia="SimSun"/>
          <w:lang w:eastAsia="zh-CN"/>
        </w:rPr>
        <w:t xml:space="preserve"> </w:t>
      </w:r>
      <w:r>
        <w:rPr>
          <w:lang w:val="en-NZ"/>
        </w:rPr>
        <w:t>which address t</w:t>
      </w:r>
      <w:r w:rsidRPr="005B395A">
        <w:rPr>
          <w:lang w:val="en-NZ"/>
        </w:rPr>
        <w:t>echnical and regulatory studies for 6/4 GHz non-GSO FSS sharing</w:t>
      </w:r>
      <w:r>
        <w:rPr>
          <w:lang w:val="en-NZ"/>
        </w:rPr>
        <w:t>;</w:t>
      </w:r>
    </w:p>
    <w:p w14:paraId="3F64C1EA" w14:textId="1BF61038" w:rsidR="005B395A" w:rsidRDefault="005B395A" w:rsidP="005B395A">
      <w:pPr>
        <w:numPr>
          <w:ilvl w:val="0"/>
          <w:numId w:val="18"/>
        </w:numPr>
        <w:ind w:leftChars="145" w:left="708"/>
        <w:rPr>
          <w:lang w:val="en-NZ"/>
        </w:rPr>
      </w:pPr>
      <w:r w:rsidRPr="005B395A">
        <w:rPr>
          <w:lang w:val="en-NZ"/>
        </w:rPr>
        <w:t>Working document towards a preliminary draft new Report ITU-R</w:t>
      </w:r>
      <w:r>
        <w:rPr>
          <w:lang w:val="en-NZ"/>
        </w:rPr>
        <w:t xml:space="preserve"> S.[NGSO FSS 6/4 GHz SHARING] </w:t>
      </w:r>
      <w:r w:rsidR="004B05F6">
        <w:rPr>
          <w:rFonts w:eastAsia="SimSun" w:hint="eastAsia"/>
          <w:lang w:eastAsia="zh-CN"/>
        </w:rPr>
        <w:t>(Annex 16 to document 4A/364)</w:t>
      </w:r>
      <w:r>
        <w:rPr>
          <w:lang w:val="en-NZ"/>
        </w:rPr>
        <w:t xml:space="preserve"> which address s</w:t>
      </w:r>
      <w:r w:rsidRPr="005B395A">
        <w:rPr>
          <w:lang w:val="en-NZ"/>
        </w:rPr>
        <w:t>haring between non-</w:t>
      </w:r>
      <w:r>
        <w:rPr>
          <w:lang w:val="en-NZ"/>
        </w:rPr>
        <w:t xml:space="preserve">GSO </w:t>
      </w:r>
      <w:r w:rsidRPr="005B395A">
        <w:rPr>
          <w:lang w:val="en-NZ"/>
        </w:rPr>
        <w:t xml:space="preserve">systems in the </w:t>
      </w:r>
      <w:r w:rsidR="00DB3F5B">
        <w:rPr>
          <w:lang w:val="en-NZ"/>
        </w:rPr>
        <w:t>FSS</w:t>
      </w:r>
      <w:r w:rsidRPr="005B395A">
        <w:rPr>
          <w:lang w:val="en-NZ"/>
        </w:rPr>
        <w:t xml:space="preserve"> and existing and planned systems in the terrestrial and space services allocated on a primary basis in the frequency bands 3 700-4 200 MHz, 4 500-4 800 MHz, 5 925-6 425 MHz and 6 725-7 025 MHz</w:t>
      </w:r>
      <w:r>
        <w:rPr>
          <w:lang w:val="en-NZ"/>
        </w:rPr>
        <w:t>;</w:t>
      </w:r>
    </w:p>
    <w:p w14:paraId="2E0E6750" w14:textId="66F1F881" w:rsidR="00D5407A" w:rsidRPr="00CC4D71" w:rsidRDefault="005B395A" w:rsidP="00CC4D71">
      <w:pPr>
        <w:numPr>
          <w:ilvl w:val="0"/>
          <w:numId w:val="18"/>
        </w:numPr>
        <w:ind w:leftChars="145" w:left="708"/>
        <w:rPr>
          <w:lang w:val="en-NZ"/>
        </w:rPr>
      </w:pPr>
      <w:r>
        <w:rPr>
          <w:lang w:val="en-NZ"/>
        </w:rPr>
        <w:t>W</w:t>
      </w:r>
      <w:r w:rsidRPr="005B395A">
        <w:rPr>
          <w:lang w:val="en-NZ"/>
        </w:rPr>
        <w:t>orking docume</w:t>
      </w:r>
      <w:r>
        <w:rPr>
          <w:lang w:val="en-NZ"/>
        </w:rPr>
        <w:t>nt towards preliminary draft CPM</w:t>
      </w:r>
      <w:r w:rsidRPr="005B395A">
        <w:rPr>
          <w:lang w:val="en-NZ"/>
        </w:rPr>
        <w:t xml:space="preserve"> text</w:t>
      </w:r>
      <w:r w:rsidRPr="005B395A">
        <w:rPr>
          <w:rFonts w:eastAsiaTheme="minorEastAsia" w:hint="eastAsia"/>
          <w:lang w:val="en-NZ" w:eastAsia="zh-CN"/>
        </w:rPr>
        <w:t xml:space="preserve"> </w:t>
      </w:r>
      <w:r>
        <w:rPr>
          <w:lang w:val="en-NZ"/>
        </w:rPr>
        <w:t>for WRC</w:t>
      </w:r>
      <w:r w:rsidRPr="005B395A">
        <w:rPr>
          <w:lang w:val="en-NZ"/>
        </w:rPr>
        <w:t>-19 agenda item 9.1, issue 9.1.3</w:t>
      </w:r>
      <w:r w:rsidR="004B05F6">
        <w:rPr>
          <w:lang w:val="en-NZ"/>
        </w:rPr>
        <w:t xml:space="preserve"> </w:t>
      </w:r>
      <w:r w:rsidR="004B05F6">
        <w:rPr>
          <w:rFonts w:eastAsia="SimSun" w:hint="eastAsia"/>
          <w:lang w:eastAsia="zh-CN"/>
        </w:rPr>
        <w:t>(Annex 43 to document 4A/364)</w:t>
      </w:r>
      <w:r>
        <w:rPr>
          <w:i/>
          <w:lang w:val="en-NZ"/>
        </w:rPr>
        <w:t>.</w:t>
      </w:r>
    </w:p>
    <w:p w14:paraId="2E0E6751" w14:textId="77777777" w:rsidR="00B64A60" w:rsidRDefault="00B64A60" w:rsidP="00B64A60">
      <w:pPr>
        <w:jc w:val="both"/>
        <w:rPr>
          <w:lang w:val="en-NZ"/>
        </w:rPr>
      </w:pPr>
    </w:p>
    <w:p w14:paraId="2E0E6752" w14:textId="77777777" w:rsidR="00B64A60" w:rsidRPr="00710333" w:rsidRDefault="00B64A60" w:rsidP="00B64A60">
      <w:pPr>
        <w:spacing w:after="120"/>
        <w:jc w:val="both"/>
        <w:rPr>
          <w:b/>
          <w:lang w:val="en-NZ" w:eastAsia="ko-KR"/>
        </w:rPr>
      </w:pPr>
      <w:r w:rsidRPr="00710333">
        <w:rPr>
          <w:b/>
          <w:lang w:val="en-NZ" w:eastAsia="ko-KR"/>
        </w:rPr>
        <w:t xml:space="preserve">2. </w:t>
      </w:r>
      <w:r>
        <w:rPr>
          <w:b/>
          <w:lang w:val="en-NZ" w:eastAsia="ko-KR"/>
        </w:rPr>
        <w:tab/>
      </w:r>
      <w:r w:rsidRPr="00710333">
        <w:rPr>
          <w:b/>
          <w:lang w:val="en-NZ" w:eastAsia="ko-KR"/>
        </w:rPr>
        <w:t>Documents</w:t>
      </w:r>
    </w:p>
    <w:p w14:paraId="2E0E6753" w14:textId="3CAF82DE" w:rsidR="00B64A60" w:rsidRPr="008218C8" w:rsidRDefault="00B64A60" w:rsidP="008218C8">
      <w:pPr>
        <w:numPr>
          <w:ilvl w:val="0"/>
          <w:numId w:val="18"/>
        </w:numPr>
        <w:ind w:leftChars="145" w:left="708"/>
        <w:rPr>
          <w:lang w:val="en-NZ"/>
        </w:rPr>
      </w:pPr>
      <w:r w:rsidRPr="00D764B3">
        <w:rPr>
          <w:lang w:val="en-NZ"/>
        </w:rPr>
        <w:t>Input Documents</w:t>
      </w:r>
      <w:r w:rsidR="00CC4D71">
        <w:rPr>
          <w:lang w:val="en-NZ"/>
        </w:rPr>
        <w:t>:</w:t>
      </w:r>
      <w:bookmarkStart w:id="2" w:name="OLE_LINK41"/>
      <w:r w:rsidR="008218C8">
        <w:rPr>
          <w:rFonts w:eastAsiaTheme="minorEastAsia" w:hint="eastAsia"/>
          <w:lang w:val="en-NZ" w:eastAsia="zh-CN"/>
        </w:rPr>
        <w:t xml:space="preserve"> </w:t>
      </w:r>
      <w:r w:rsidR="00DB3F5B">
        <w:rPr>
          <w:rFonts w:eastAsiaTheme="minorEastAsia"/>
          <w:lang w:val="en-NZ" w:eastAsia="zh-CN"/>
        </w:rPr>
        <w:t xml:space="preserve">relevant part of </w:t>
      </w:r>
      <w:r w:rsidRPr="008218C8">
        <w:rPr>
          <w:lang w:val="en-NZ"/>
        </w:rPr>
        <w:t>APG19-2/INP-</w:t>
      </w:r>
      <w:r w:rsidR="008218C8" w:rsidRPr="008218C8">
        <w:rPr>
          <w:lang w:val="en-NZ"/>
        </w:rPr>
        <w:t>10 (KOR)</w:t>
      </w:r>
      <w:bookmarkEnd w:id="2"/>
      <w:r w:rsidR="008218C8" w:rsidRPr="008218C8">
        <w:rPr>
          <w:lang w:val="en-NZ"/>
        </w:rPr>
        <w:t>, INP-30 (AUS), INP-41 (INS), INP-51 (CHN), INP-57 (J)</w:t>
      </w:r>
    </w:p>
    <w:p w14:paraId="2E0E6754" w14:textId="6749CE89" w:rsidR="00B64A60" w:rsidRPr="00424FF7" w:rsidRDefault="00B64A60" w:rsidP="00B64A60">
      <w:pPr>
        <w:numPr>
          <w:ilvl w:val="0"/>
          <w:numId w:val="18"/>
        </w:numPr>
        <w:ind w:leftChars="145" w:left="708"/>
        <w:rPr>
          <w:lang w:val="en-NZ"/>
        </w:rPr>
      </w:pPr>
      <w:r w:rsidRPr="00D764B3">
        <w:rPr>
          <w:lang w:val="en-NZ"/>
        </w:rPr>
        <w:t>Information Documents</w:t>
      </w:r>
      <w:r w:rsidR="00FF1969">
        <w:rPr>
          <w:rFonts w:eastAsiaTheme="minorEastAsia" w:hint="eastAsia"/>
          <w:lang w:val="en-NZ" w:eastAsia="zh-CN"/>
        </w:rPr>
        <w:t>:</w:t>
      </w:r>
      <w:r w:rsidRPr="00D764B3">
        <w:rPr>
          <w:lang w:val="en-NZ"/>
        </w:rPr>
        <w:t xml:space="preserve"> </w:t>
      </w:r>
      <w:r w:rsidR="00DB3F5B">
        <w:rPr>
          <w:lang w:val="en-NZ"/>
        </w:rPr>
        <w:t xml:space="preserve">relevant part of </w:t>
      </w:r>
      <w:r w:rsidRPr="00424FF7">
        <w:rPr>
          <w:lang w:val="en-NZ"/>
        </w:rPr>
        <w:t>APG19-</w:t>
      </w:r>
      <w:r>
        <w:rPr>
          <w:lang w:val="en-NZ"/>
        </w:rPr>
        <w:t>2</w:t>
      </w:r>
      <w:r w:rsidRPr="00424FF7">
        <w:rPr>
          <w:lang w:val="en-NZ"/>
        </w:rPr>
        <w:t>/IN</w:t>
      </w:r>
      <w:r>
        <w:rPr>
          <w:lang w:val="en-NZ"/>
        </w:rPr>
        <w:t>F</w:t>
      </w:r>
      <w:r w:rsidRPr="00424FF7">
        <w:rPr>
          <w:lang w:val="en-NZ"/>
        </w:rPr>
        <w:t>-</w:t>
      </w:r>
      <w:r w:rsidR="008218C8">
        <w:rPr>
          <w:lang w:val="en-NZ"/>
        </w:rPr>
        <w:t>1 (</w:t>
      </w:r>
      <w:r w:rsidR="00E5125B">
        <w:rPr>
          <w:lang w:val="en-NZ"/>
        </w:rPr>
        <w:t>Chair, APG-19</w:t>
      </w:r>
      <w:r w:rsidR="008218C8">
        <w:rPr>
          <w:lang w:val="en-NZ"/>
        </w:rPr>
        <w:t>), INF-2 (ICAO), INF-4 (CITEL), INF-5 (RCC), INF-14 (CEPT)</w:t>
      </w:r>
    </w:p>
    <w:p w14:paraId="2E0E6756" w14:textId="77777777" w:rsidR="00B64A60" w:rsidRPr="00DB3F5B" w:rsidRDefault="00B64A60" w:rsidP="00B64A60">
      <w:pPr>
        <w:jc w:val="both"/>
        <w:rPr>
          <w:lang w:val="en-NZ"/>
        </w:rPr>
      </w:pPr>
    </w:p>
    <w:p w14:paraId="2E0E6757" w14:textId="77777777" w:rsidR="00B64A60" w:rsidRDefault="00B64A60" w:rsidP="00B64A60">
      <w:pPr>
        <w:spacing w:after="120"/>
        <w:jc w:val="both"/>
        <w:rPr>
          <w:b/>
          <w:lang w:val="en-NZ" w:eastAsia="ko-KR"/>
        </w:rPr>
      </w:pPr>
      <w:r>
        <w:rPr>
          <w:b/>
          <w:lang w:val="en-NZ" w:eastAsia="ko-KR"/>
        </w:rPr>
        <w:t xml:space="preserve">3. </w:t>
      </w:r>
      <w:r>
        <w:rPr>
          <w:b/>
          <w:lang w:val="en-NZ" w:eastAsia="ko-KR"/>
        </w:rPr>
        <w:tab/>
        <w:t>Summary of Discussions</w:t>
      </w:r>
    </w:p>
    <w:p w14:paraId="304F9937" w14:textId="31EFCC4C" w:rsidR="004A2F96" w:rsidRDefault="004A2F96" w:rsidP="00B64A60">
      <w:pPr>
        <w:spacing w:after="120"/>
        <w:jc w:val="both"/>
        <w:rPr>
          <w:b/>
          <w:lang w:val="en-NZ" w:eastAsia="ko-KR"/>
        </w:rPr>
      </w:pPr>
      <w:r>
        <w:rPr>
          <w:b/>
          <w:lang w:val="en-NZ" w:eastAsia="ko-KR"/>
        </w:rPr>
        <w:t>3.1</w:t>
      </w:r>
      <w:r>
        <w:rPr>
          <w:b/>
          <w:lang w:val="en-NZ" w:eastAsia="ko-KR"/>
        </w:rPr>
        <w:tab/>
        <w:t xml:space="preserve"> S</w:t>
      </w:r>
      <w:r>
        <w:rPr>
          <w:rFonts w:hint="eastAsia"/>
          <w:b/>
          <w:lang w:val="en-NZ" w:eastAsia="ko-KR"/>
        </w:rPr>
        <w:t xml:space="preserve">ummary </w:t>
      </w:r>
      <w:r>
        <w:rPr>
          <w:b/>
          <w:lang w:val="en-NZ" w:eastAsia="ko-KR"/>
        </w:rPr>
        <w:t>of Members’ view</w:t>
      </w:r>
    </w:p>
    <w:p w14:paraId="7993A39D" w14:textId="5E2D36E4" w:rsidR="004A2F96" w:rsidRDefault="00FF1969" w:rsidP="00B64A60">
      <w:pPr>
        <w:spacing w:after="120"/>
        <w:jc w:val="both"/>
        <w:rPr>
          <w:b/>
          <w:lang w:val="en-NZ" w:eastAsia="ko-KR"/>
        </w:rPr>
      </w:pPr>
      <w:r>
        <w:rPr>
          <w:b/>
          <w:lang w:val="en-NZ" w:eastAsia="ko-KR"/>
        </w:rPr>
        <w:t xml:space="preserve">3.1.1 </w:t>
      </w:r>
      <w:r w:rsidRPr="00FF1969">
        <w:rPr>
          <w:b/>
          <w:lang w:val="en-NZ" w:eastAsia="ko-KR"/>
        </w:rPr>
        <w:t>Korea (Rep. of)</w:t>
      </w:r>
    </w:p>
    <w:p w14:paraId="13D6D8C9" w14:textId="0A84DAC6" w:rsidR="00FF1969" w:rsidRDefault="00FF1969" w:rsidP="00B64A60">
      <w:pPr>
        <w:spacing w:after="120"/>
        <w:jc w:val="both"/>
        <w:rPr>
          <w:b/>
          <w:lang w:val="en-NZ" w:eastAsia="ko-KR"/>
        </w:rPr>
      </w:pPr>
      <w:r w:rsidRPr="00FF1969">
        <w:rPr>
          <w:lang w:val="en-NZ"/>
        </w:rPr>
        <w:lastRenderedPageBreak/>
        <w:t xml:space="preserve">The Republic of Korea has a preliminary view that the ITU-R studies should not have an impact on existing and future terrestrial services and should not limit or additionally constrain the future development of the geostationary-satellite system in the fixed-satellite service especially, feeder link earth stations for </w:t>
      </w:r>
      <w:proofErr w:type="spellStart"/>
      <w:r w:rsidRPr="00FF1969">
        <w:rPr>
          <w:lang w:val="en-NZ"/>
        </w:rPr>
        <w:t>radionavigation</w:t>
      </w:r>
      <w:proofErr w:type="spellEnd"/>
      <w:r w:rsidRPr="00FF1969">
        <w:rPr>
          <w:lang w:val="en-NZ"/>
        </w:rPr>
        <w:t xml:space="preserve"> </w:t>
      </w:r>
      <w:r w:rsidR="0046170C">
        <w:rPr>
          <w:lang w:val="en-NZ"/>
        </w:rPr>
        <w:t xml:space="preserve">satellite </w:t>
      </w:r>
      <w:r w:rsidRPr="00FF1969">
        <w:rPr>
          <w:lang w:val="en-NZ"/>
        </w:rPr>
        <w:t>service in the frequency bands 5 92</w:t>
      </w:r>
      <w:r>
        <w:rPr>
          <w:lang w:val="en-NZ"/>
        </w:rPr>
        <w:t xml:space="preserve">5-6 425 MHz and 6 725-7 025 </w:t>
      </w:r>
      <w:proofErr w:type="spellStart"/>
      <w:r>
        <w:rPr>
          <w:lang w:val="en-NZ"/>
        </w:rPr>
        <w:t>MHz.</w:t>
      </w:r>
      <w:proofErr w:type="spellEnd"/>
    </w:p>
    <w:p w14:paraId="6C0308E7" w14:textId="250DA7DD" w:rsidR="004A2F96" w:rsidRDefault="004A2F96" w:rsidP="00B64A60">
      <w:pPr>
        <w:spacing w:after="120"/>
        <w:jc w:val="both"/>
        <w:rPr>
          <w:b/>
          <w:lang w:val="en-NZ" w:eastAsia="ko-KR"/>
        </w:rPr>
      </w:pPr>
      <w:r>
        <w:rPr>
          <w:b/>
          <w:lang w:val="en-NZ" w:eastAsia="ko-KR"/>
        </w:rPr>
        <w:t xml:space="preserve">3.1.2 </w:t>
      </w:r>
      <w:r w:rsidR="00FF1969" w:rsidRPr="00FF1969">
        <w:rPr>
          <w:b/>
          <w:lang w:val="en-NZ" w:eastAsia="ko-KR"/>
        </w:rPr>
        <w:t>Australia</w:t>
      </w:r>
    </w:p>
    <w:p w14:paraId="32C830D4" w14:textId="77777777" w:rsidR="00FF1969" w:rsidRPr="00B00A84" w:rsidRDefault="00FF1969" w:rsidP="003C2B6F">
      <w:pPr>
        <w:shd w:val="clear" w:color="auto" w:fill="FFFFFF"/>
        <w:tabs>
          <w:tab w:val="left" w:pos="3390"/>
        </w:tabs>
        <w:spacing w:afterLines="50" w:after="120"/>
        <w:rPr>
          <w:color w:val="0000FF"/>
        </w:rPr>
      </w:pPr>
      <w:r w:rsidRPr="00B00A84">
        <w:rPr>
          <w:rFonts w:eastAsia="Times New Roman"/>
          <w:color w:val="000000"/>
          <w:lang w:bidi="en-US"/>
        </w:rPr>
        <w:t xml:space="preserve">Australia supports ITU-R studies of technical and operational issues and regulatory provisions for possible new non-geostationary-satellite orbit systems in the frequency bands 3 700-4 200 MHz, 4 500-4 800 MHz, 5 925-6 425 MHz and 6 725-7 025 MHz allocated to the fixed-satellite service in accordance with Resolution </w:t>
      </w:r>
      <w:r w:rsidRPr="00B00A84">
        <w:rPr>
          <w:rFonts w:eastAsia="Times New Roman"/>
          <w:b/>
          <w:color w:val="000000"/>
          <w:lang w:bidi="en-US"/>
        </w:rPr>
        <w:t>157 (WRC-15)</w:t>
      </w:r>
      <w:r w:rsidRPr="00B00A84">
        <w:rPr>
          <w:rFonts w:eastAsia="Times New Roman"/>
          <w:color w:val="000000"/>
          <w:lang w:bidi="en-US"/>
        </w:rPr>
        <w:t xml:space="preserve">. </w:t>
      </w:r>
    </w:p>
    <w:p w14:paraId="4506118D" w14:textId="77777777" w:rsidR="00FF1969" w:rsidRPr="00B00A84" w:rsidRDefault="00FF1969" w:rsidP="003C2B6F">
      <w:pPr>
        <w:shd w:val="clear" w:color="auto" w:fill="FFFFFF"/>
        <w:tabs>
          <w:tab w:val="left" w:pos="3390"/>
        </w:tabs>
        <w:spacing w:afterLines="50" w:after="120"/>
        <w:rPr>
          <w:rFonts w:eastAsia="Times New Roman"/>
          <w:color w:val="0000FF"/>
          <w:lang w:bidi="en-US"/>
        </w:rPr>
      </w:pPr>
      <w:r w:rsidRPr="00B00A84">
        <w:rPr>
          <w:rFonts w:eastAsia="Times New Roman"/>
          <w:color w:val="000000"/>
          <w:lang w:bidi="en-US"/>
        </w:rPr>
        <w:t>Australia notes that new non-geostationary-satellite systems in these bands should not cause harmful interference to, or impose unacceptable constraints on, other services operating in these bands.</w:t>
      </w:r>
    </w:p>
    <w:p w14:paraId="4B70B557" w14:textId="14DC3494" w:rsidR="00FF1969" w:rsidRDefault="00FF1969" w:rsidP="00FF1969">
      <w:pPr>
        <w:jc w:val="both"/>
        <w:rPr>
          <w:b/>
          <w:lang w:val="en-NZ" w:eastAsia="ko-KR"/>
        </w:rPr>
      </w:pPr>
      <w:r w:rsidRPr="00B00A84">
        <w:rPr>
          <w:rFonts w:eastAsia="Times New Roman"/>
          <w:color w:val="000000"/>
          <w:lang w:val="en-GB" w:bidi="en-US"/>
        </w:rPr>
        <w:t>Otherwise Australia is yet to form a view on this Issue.</w:t>
      </w:r>
    </w:p>
    <w:p w14:paraId="76E22F90" w14:textId="5B750B76" w:rsidR="004A2F96" w:rsidRDefault="00FF1969" w:rsidP="00FF1969">
      <w:pPr>
        <w:spacing w:beforeLines="50" w:before="120" w:afterLines="50" w:after="120"/>
        <w:jc w:val="both"/>
        <w:rPr>
          <w:b/>
          <w:lang w:val="en-NZ" w:eastAsia="ko-KR"/>
        </w:rPr>
      </w:pPr>
      <w:r>
        <w:rPr>
          <w:b/>
          <w:lang w:val="en-NZ" w:eastAsia="ko-KR"/>
        </w:rPr>
        <w:t>3.1.3 Indonesia</w:t>
      </w:r>
    </w:p>
    <w:p w14:paraId="30F0C444" w14:textId="7B6DCDFC" w:rsidR="00197C18" w:rsidRDefault="00FF1969" w:rsidP="00FF1969">
      <w:pPr>
        <w:jc w:val="both"/>
      </w:pPr>
      <w:r w:rsidRPr="00B17EF7">
        <w:rPr>
          <w:lang w:val="id-ID"/>
        </w:rPr>
        <w:t>Indonesia supports study for new non-geostationary-satellite orbit system in the 3 700-4 200 MHz, 4 500-4 800 MHz, 5 925-6 425 MHz, and 6 725-7 025 MHz frequency  bands allocated to fixed satellite service while ensuring protection to the existing space services (GSO FSS, MSS) and terrestrial services (fixed services, mobile services, aeronautical mobile telemetry) and the allotments in the Plan and the assignments in the List of AP30B shall be fully protected.</w:t>
      </w:r>
    </w:p>
    <w:p w14:paraId="39B59765" w14:textId="2CCF6158" w:rsidR="00FF1969" w:rsidRDefault="00FF1969" w:rsidP="00FF1969">
      <w:pPr>
        <w:spacing w:beforeLines="50" w:before="120" w:afterLines="50" w:after="120"/>
        <w:jc w:val="both"/>
        <w:rPr>
          <w:b/>
          <w:lang w:val="en-NZ" w:eastAsia="ko-KR"/>
        </w:rPr>
      </w:pPr>
      <w:r>
        <w:rPr>
          <w:b/>
          <w:lang w:val="en-NZ" w:eastAsia="ko-KR"/>
        </w:rPr>
        <w:t xml:space="preserve">3.1.4 China </w:t>
      </w:r>
      <w:r w:rsidRPr="00FF1969">
        <w:rPr>
          <w:rFonts w:hint="eastAsia"/>
          <w:b/>
          <w:lang w:val="en-NZ" w:eastAsia="ko-KR"/>
        </w:rPr>
        <w:t>(People</w:t>
      </w:r>
      <w:r w:rsidRPr="00FF1969">
        <w:rPr>
          <w:b/>
          <w:lang w:val="en-NZ" w:eastAsia="ko-KR"/>
        </w:rPr>
        <w:t>’</w:t>
      </w:r>
      <w:r w:rsidRPr="00FF1969">
        <w:rPr>
          <w:rFonts w:hint="eastAsia"/>
          <w:b/>
          <w:lang w:val="en-NZ" w:eastAsia="ko-KR"/>
        </w:rPr>
        <w:t>s Republic of)</w:t>
      </w:r>
    </w:p>
    <w:p w14:paraId="4D38D8CF" w14:textId="77777777" w:rsidR="00FF1969" w:rsidRPr="00FF1969" w:rsidRDefault="00FF1969" w:rsidP="00FF1969">
      <w:pPr>
        <w:spacing w:afterLines="50" w:after="120"/>
        <w:jc w:val="both"/>
        <w:rPr>
          <w:lang w:val="id-ID"/>
        </w:rPr>
      </w:pPr>
      <w:r w:rsidRPr="00FF1969">
        <w:rPr>
          <w:rFonts w:hint="eastAsia"/>
          <w:lang w:val="id-ID"/>
        </w:rPr>
        <w:t xml:space="preserve">China </w:t>
      </w:r>
      <w:r w:rsidRPr="00FF1969">
        <w:rPr>
          <w:lang w:val="id-ID"/>
        </w:rPr>
        <w:t xml:space="preserve">supports the study of technical and operational issues and regulatory provisions for new non-GSO systems in the 3 700-4 200 MHz, 4 500-4 800 MHz, 5 925-6 425 MHz and 6 725-7 025 MHz frequency bands under the terms of Resolution </w:t>
      </w:r>
      <w:r w:rsidRPr="00FF1969">
        <w:rPr>
          <w:b/>
          <w:bCs/>
          <w:lang w:val="id-ID"/>
        </w:rPr>
        <w:t>157 (WRC-15)</w:t>
      </w:r>
      <w:r w:rsidRPr="00FF1969">
        <w:rPr>
          <w:lang w:val="id-ID"/>
        </w:rPr>
        <w:t>.</w:t>
      </w:r>
    </w:p>
    <w:p w14:paraId="18E257CA" w14:textId="64114A7A" w:rsidR="00FF1969" w:rsidRPr="00FF1969" w:rsidRDefault="00FF1969" w:rsidP="00FF1969">
      <w:pPr>
        <w:spacing w:afterLines="50" w:after="120"/>
        <w:jc w:val="both"/>
        <w:rPr>
          <w:lang w:val="id-ID"/>
        </w:rPr>
      </w:pPr>
      <w:r w:rsidRPr="00FF1969">
        <w:rPr>
          <w:lang w:val="id-ID"/>
        </w:rPr>
        <w:t>China</w:t>
      </w:r>
      <w:r w:rsidR="005C08F0">
        <w:rPr>
          <w:lang w:val="id-ID"/>
        </w:rPr>
        <w:t xml:space="preserve"> is the view that when revising or developing</w:t>
      </w:r>
      <w:r w:rsidRPr="00FF1969">
        <w:rPr>
          <w:lang w:val="id-ID"/>
        </w:rPr>
        <w:t xml:space="preserve"> the Article </w:t>
      </w:r>
      <w:r w:rsidRPr="00FF1969">
        <w:rPr>
          <w:b/>
          <w:bCs/>
          <w:lang w:val="id-ID"/>
        </w:rPr>
        <w:t xml:space="preserve">22 </w:t>
      </w:r>
      <w:r w:rsidRPr="00FF1969">
        <w:rPr>
          <w:lang w:val="id-ID"/>
        </w:rPr>
        <w:t xml:space="preserve">epfd↓ limits and epfd↑ limits for the non-GSO systems in the frequency bands 3 700-4 200 MHz (space-to-Earth), 5 925-6 425 MHz (Earth-to-space), 4 500-4 800 MHz (space-to-Earth) and 6 725-7 025 MHz (Earth-to-space), it is necessary to ensure the protection of GSO FSS networks from unacceptable interference pursuant to No </w:t>
      </w:r>
      <w:r w:rsidRPr="00FF1969">
        <w:rPr>
          <w:b/>
          <w:bCs/>
          <w:lang w:val="id-ID"/>
        </w:rPr>
        <w:t>22.2</w:t>
      </w:r>
      <w:r w:rsidRPr="00FF1969">
        <w:rPr>
          <w:lang w:val="id-ID"/>
        </w:rPr>
        <w:t xml:space="preserve"> as applicable, including the allotments of the Plan and assignments in the Appendix </w:t>
      </w:r>
      <w:r w:rsidRPr="00FF1969">
        <w:rPr>
          <w:b/>
          <w:bCs/>
          <w:lang w:val="id-ID"/>
        </w:rPr>
        <w:t xml:space="preserve">30B </w:t>
      </w:r>
      <w:r w:rsidRPr="00FF1969">
        <w:rPr>
          <w:lang w:val="id-ID"/>
        </w:rPr>
        <w:t>List.</w:t>
      </w:r>
    </w:p>
    <w:p w14:paraId="1AAACDB4" w14:textId="77777777" w:rsidR="00FF1969" w:rsidRDefault="00FF1969" w:rsidP="00FF1969">
      <w:pPr>
        <w:spacing w:beforeLines="50" w:before="120" w:afterLines="50" w:after="120"/>
        <w:jc w:val="both"/>
        <w:rPr>
          <w:lang w:val="id-ID"/>
        </w:rPr>
      </w:pPr>
      <w:r w:rsidRPr="00FF1969">
        <w:rPr>
          <w:rFonts w:hint="eastAsia"/>
          <w:lang w:val="id-ID"/>
        </w:rPr>
        <w:t xml:space="preserve">China </w:t>
      </w:r>
      <w:r w:rsidRPr="00FF1969">
        <w:rPr>
          <w:lang w:val="id-ID"/>
        </w:rPr>
        <w:t xml:space="preserve">do not oppose possible revision of Article </w:t>
      </w:r>
      <w:r w:rsidRPr="005C58C1">
        <w:rPr>
          <w:b/>
          <w:lang w:val="id-ID"/>
        </w:rPr>
        <w:t>21</w:t>
      </w:r>
      <w:r w:rsidRPr="00FF1969">
        <w:rPr>
          <w:lang w:val="id-ID"/>
        </w:rPr>
        <w:t xml:space="preserve">, Table 21-4 for non-GSO FSS satellites, with a view to enabling new non-GSO systems to operate in these FSS frequency bands, while ensuring the protection of the mobile service and fixed service, and maintaining the existing Article </w:t>
      </w:r>
      <w:r w:rsidRPr="00FF1969">
        <w:rPr>
          <w:b/>
          <w:lang w:val="id-ID"/>
        </w:rPr>
        <w:t>21</w:t>
      </w:r>
      <w:r w:rsidRPr="00FF1969">
        <w:rPr>
          <w:lang w:val="id-ID"/>
        </w:rPr>
        <w:t xml:space="preserve"> pfd limits in the frequency band 3700−4200 MHz (space-to-Earth) for GSO networks. </w:t>
      </w:r>
    </w:p>
    <w:p w14:paraId="7997D48D" w14:textId="6BF8AE7F" w:rsidR="00FF1969" w:rsidRDefault="00FF1969" w:rsidP="00FF1969">
      <w:pPr>
        <w:spacing w:beforeLines="50" w:before="120" w:afterLines="50" w:after="120"/>
        <w:jc w:val="both"/>
        <w:rPr>
          <w:lang w:val="id-ID"/>
        </w:rPr>
      </w:pPr>
      <w:r w:rsidRPr="00FF1969">
        <w:rPr>
          <w:lang w:val="id-ID"/>
        </w:rPr>
        <w:t>When developing technical and operational conditions and regulatory provisions for new non-GSO systems, there is a need to ensure protection of existing terrestrial services in the frequency bands 4 500-4 800 MHz (space-to-Earth), 5 925-6 425 MHz</w:t>
      </w:r>
      <w:r w:rsidR="005C08F0">
        <w:rPr>
          <w:lang w:val="id-ID"/>
        </w:rPr>
        <w:t xml:space="preserve"> (Earth-to-space) and 6 725-7 02</w:t>
      </w:r>
      <w:r w:rsidRPr="00FF1969">
        <w:rPr>
          <w:lang w:val="id-ID"/>
        </w:rPr>
        <w:t>5 MHz (Earth-to-space).</w:t>
      </w:r>
    </w:p>
    <w:p w14:paraId="65F7D344" w14:textId="1CE48C99" w:rsidR="00FF1969" w:rsidRDefault="00FF1969" w:rsidP="00FF1969">
      <w:pPr>
        <w:spacing w:beforeLines="50" w:before="120" w:afterLines="50" w:after="120"/>
        <w:jc w:val="both"/>
        <w:rPr>
          <w:b/>
          <w:lang w:val="en-NZ" w:eastAsia="ko-KR"/>
        </w:rPr>
      </w:pPr>
      <w:r>
        <w:rPr>
          <w:b/>
          <w:lang w:val="en-NZ" w:eastAsia="ko-KR"/>
        </w:rPr>
        <w:t>3.1.5 Japan</w:t>
      </w:r>
    </w:p>
    <w:p w14:paraId="2AD62850" w14:textId="760C52D3" w:rsidR="00FF1969" w:rsidRPr="00FF1969" w:rsidRDefault="007649F8" w:rsidP="00FF1969">
      <w:pPr>
        <w:spacing w:beforeLines="50" w:before="120" w:afterLines="50" w:after="120"/>
        <w:jc w:val="both"/>
        <w:rPr>
          <w:lang w:val="id-ID"/>
        </w:rPr>
      </w:pPr>
      <w:r w:rsidRPr="00690B3B">
        <w:rPr>
          <w:rFonts w:eastAsiaTheme="minorEastAsia"/>
          <w:lang w:eastAsia="ja-JP"/>
        </w:rPr>
        <w:t>Japan is of the view that appropriate protection of existing services is necessary.</w:t>
      </w:r>
    </w:p>
    <w:p w14:paraId="7E81F481" w14:textId="725FCE4B" w:rsidR="008454C8" w:rsidRPr="00197C18" w:rsidRDefault="008454C8" w:rsidP="008454C8">
      <w:pPr>
        <w:spacing w:after="120"/>
        <w:jc w:val="both"/>
        <w:rPr>
          <w:b/>
          <w:lang w:val="en-NZ"/>
        </w:rPr>
      </w:pPr>
      <w:r w:rsidRPr="00197C18">
        <w:rPr>
          <w:b/>
          <w:lang w:val="en-NZ"/>
        </w:rPr>
        <w:t xml:space="preserve">3.2 </w:t>
      </w:r>
      <w:r w:rsidRPr="00197C18">
        <w:rPr>
          <w:b/>
          <w:lang w:val="en-NZ"/>
        </w:rPr>
        <w:tab/>
      </w:r>
      <w:r w:rsidRPr="00197C18">
        <w:rPr>
          <w:b/>
          <w:lang w:val="en-NZ" w:eastAsia="ko-KR"/>
        </w:rPr>
        <w:t>Key</w:t>
      </w:r>
      <w:r w:rsidRPr="00197C18">
        <w:rPr>
          <w:b/>
          <w:lang w:val="en-NZ"/>
        </w:rPr>
        <w:t xml:space="preserve"> </w:t>
      </w:r>
      <w:r w:rsidRPr="00197C18">
        <w:rPr>
          <w:b/>
          <w:lang w:val="en-NZ" w:eastAsia="ko-KR"/>
        </w:rPr>
        <w:t>points</w:t>
      </w:r>
      <w:r w:rsidRPr="00197C18">
        <w:rPr>
          <w:b/>
          <w:lang w:val="en-NZ"/>
        </w:rPr>
        <w:t xml:space="preserve"> raised during the meeting</w:t>
      </w:r>
    </w:p>
    <w:p w14:paraId="2E0E6758" w14:textId="241B3B4E" w:rsidR="00036CC9" w:rsidRDefault="00FF1969" w:rsidP="00B64A60">
      <w:pPr>
        <w:numPr>
          <w:ilvl w:val="0"/>
          <w:numId w:val="18"/>
        </w:numPr>
        <w:ind w:leftChars="145" w:left="708"/>
        <w:rPr>
          <w:lang w:val="en-NZ"/>
        </w:rPr>
      </w:pPr>
      <w:r>
        <w:rPr>
          <w:lang w:val="en-NZ"/>
        </w:rPr>
        <w:t>N</w:t>
      </w:r>
      <w:r w:rsidR="001933D4">
        <w:rPr>
          <w:lang w:val="en-NZ"/>
        </w:rPr>
        <w:t>one.</w:t>
      </w:r>
      <w:bookmarkStart w:id="3" w:name="_GoBack"/>
      <w:bookmarkEnd w:id="3"/>
    </w:p>
    <w:p w14:paraId="2E0E675A" w14:textId="77777777" w:rsidR="00585F3C" w:rsidRDefault="00585F3C" w:rsidP="00B64A60">
      <w:pPr>
        <w:jc w:val="both"/>
        <w:rPr>
          <w:lang w:val="en-NZ"/>
        </w:rPr>
      </w:pPr>
    </w:p>
    <w:p w14:paraId="2E0E675B" w14:textId="46368A45" w:rsidR="00B64A60" w:rsidRDefault="00B64A60" w:rsidP="00B64A60">
      <w:pPr>
        <w:spacing w:after="120"/>
        <w:jc w:val="both"/>
        <w:rPr>
          <w:b/>
          <w:lang w:val="en-NZ" w:eastAsia="ko-KR"/>
        </w:rPr>
      </w:pPr>
      <w:r w:rsidRPr="00710333">
        <w:rPr>
          <w:b/>
          <w:lang w:val="en-NZ" w:eastAsia="ko-KR"/>
        </w:rPr>
        <w:t xml:space="preserve">4. </w:t>
      </w:r>
      <w:r>
        <w:rPr>
          <w:b/>
          <w:lang w:val="en-NZ" w:eastAsia="ko-KR"/>
        </w:rPr>
        <w:tab/>
      </w:r>
      <w:r w:rsidR="004465AA">
        <w:rPr>
          <w:b/>
          <w:lang w:val="en-NZ" w:eastAsia="ko-KR"/>
        </w:rPr>
        <w:t xml:space="preserve">APT </w:t>
      </w:r>
      <w:r>
        <w:rPr>
          <w:b/>
          <w:lang w:val="en-NZ" w:eastAsia="ko-KR"/>
        </w:rPr>
        <w:t xml:space="preserve">Preliminary </w:t>
      </w:r>
      <w:r w:rsidRPr="00710333">
        <w:rPr>
          <w:b/>
          <w:lang w:val="en-NZ" w:eastAsia="ko-KR"/>
        </w:rPr>
        <w:t>View</w:t>
      </w:r>
      <w:r w:rsidR="00D53688">
        <w:rPr>
          <w:b/>
          <w:lang w:val="en-NZ" w:eastAsia="ko-KR"/>
        </w:rPr>
        <w:t>(s)</w:t>
      </w:r>
    </w:p>
    <w:p w14:paraId="02FF300F" w14:textId="43BEF175" w:rsidR="000F0113" w:rsidRDefault="000F0113" w:rsidP="007649F8">
      <w:pPr>
        <w:rPr>
          <w:lang w:val="id-ID"/>
        </w:rPr>
      </w:pPr>
      <w:r w:rsidRPr="00B11B5D">
        <w:rPr>
          <w:rFonts w:eastAsiaTheme="minorEastAsia"/>
        </w:rPr>
        <w:lastRenderedPageBreak/>
        <w:t>APT Members support</w:t>
      </w:r>
      <w:r>
        <w:rPr>
          <w:rFonts w:eastAsiaTheme="minorEastAsia"/>
        </w:rPr>
        <w:t xml:space="preserve"> </w:t>
      </w:r>
      <w:r w:rsidRPr="00FF1969">
        <w:rPr>
          <w:lang w:val="id-ID"/>
        </w:rPr>
        <w:t xml:space="preserve">the </w:t>
      </w:r>
      <w:r w:rsidR="0046170C">
        <w:rPr>
          <w:lang w:val="id-ID"/>
        </w:rPr>
        <w:t xml:space="preserve">ITU-R </w:t>
      </w:r>
      <w:r w:rsidRPr="00FF1969">
        <w:rPr>
          <w:lang w:val="id-ID"/>
        </w:rPr>
        <w:t>stud</w:t>
      </w:r>
      <w:r w:rsidR="0046170C">
        <w:rPr>
          <w:lang w:val="id-ID"/>
        </w:rPr>
        <w:t>ies</w:t>
      </w:r>
      <w:r w:rsidRPr="00FF1969">
        <w:rPr>
          <w:lang w:val="id-ID"/>
        </w:rPr>
        <w:t xml:space="preserve"> of technical and operational issues and regulatory provisions for new non-GSO systems in the 3 700-4 200 MHz, 4 500-4 800 MHz, 5 925-6 425 MHz and 6 725-7 025 MHz frequency bands under the terms of Resolution </w:t>
      </w:r>
      <w:r w:rsidRPr="00FF1969">
        <w:rPr>
          <w:b/>
          <w:bCs/>
          <w:lang w:val="id-ID"/>
        </w:rPr>
        <w:t>157 (WRC-15)</w:t>
      </w:r>
      <w:r w:rsidRPr="00FF1969">
        <w:rPr>
          <w:lang w:val="id-ID"/>
        </w:rPr>
        <w:t>.</w:t>
      </w:r>
    </w:p>
    <w:p w14:paraId="2E0E675C" w14:textId="36855BB8" w:rsidR="00B64A60" w:rsidRDefault="00B64A60" w:rsidP="007649F8">
      <w:pPr>
        <w:rPr>
          <w:rFonts w:eastAsiaTheme="minorEastAsia"/>
        </w:rPr>
      </w:pPr>
    </w:p>
    <w:p w14:paraId="4C95C392" w14:textId="3A481231" w:rsidR="000F0113" w:rsidRPr="007649F8" w:rsidRDefault="000F0113" w:rsidP="007649F8">
      <w:pPr>
        <w:rPr>
          <w:lang w:val="en-NZ"/>
        </w:rPr>
      </w:pPr>
      <w:r w:rsidRPr="006F3808">
        <w:rPr>
          <w:lang w:eastAsia="ja-JP"/>
        </w:rPr>
        <w:t>APT Members</w:t>
      </w:r>
      <w:r>
        <w:rPr>
          <w:rFonts w:eastAsia="MS Mincho"/>
          <w:lang w:eastAsia="ja-JP"/>
        </w:rPr>
        <w:t xml:space="preserve"> are</w:t>
      </w:r>
      <w:r w:rsidRPr="006F3808">
        <w:rPr>
          <w:rFonts w:eastAsia="MS Mincho"/>
          <w:lang w:eastAsia="ja-JP"/>
        </w:rPr>
        <w:t xml:space="preserve"> of the view that </w:t>
      </w:r>
      <w:r w:rsidR="0046170C">
        <w:rPr>
          <w:lang w:val="id-ID"/>
        </w:rPr>
        <w:t xml:space="preserve">any </w:t>
      </w:r>
      <w:r w:rsidR="003C2B6F">
        <w:rPr>
          <w:lang w:val="id-ID"/>
        </w:rPr>
        <w:t>revision or development of</w:t>
      </w:r>
      <w:r w:rsidR="003C2B6F" w:rsidRPr="00FF1969">
        <w:rPr>
          <w:lang w:val="id-ID"/>
        </w:rPr>
        <w:t xml:space="preserve"> technical and operational conditions and regulatory provisions for new non-GSO systems</w:t>
      </w:r>
      <w:r w:rsidR="003C2B6F">
        <w:rPr>
          <w:lang w:val="id-ID"/>
        </w:rPr>
        <w:t xml:space="preserve"> </w:t>
      </w:r>
      <w:r w:rsidR="00300897">
        <w:rPr>
          <w:lang w:val="id-ID"/>
        </w:rPr>
        <w:t>should</w:t>
      </w:r>
      <w:r w:rsidR="003C2B6F">
        <w:rPr>
          <w:lang w:val="id-ID"/>
        </w:rPr>
        <w:t xml:space="preserve"> ensure the protection </w:t>
      </w:r>
      <w:r w:rsidR="003C2B6F" w:rsidRPr="00FF1969">
        <w:rPr>
          <w:lang w:val="en-NZ"/>
        </w:rPr>
        <w:t xml:space="preserve">of </w:t>
      </w:r>
      <w:r w:rsidR="003C2B6F" w:rsidRPr="006F3808">
        <w:rPr>
          <w:rFonts w:eastAsia="MS Mincho"/>
          <w:lang w:eastAsia="ja-JP"/>
        </w:rPr>
        <w:t>the</w:t>
      </w:r>
      <w:r w:rsidR="003C2B6F">
        <w:t xml:space="preserve"> existing services in these</w:t>
      </w:r>
      <w:r w:rsidR="003C2B6F" w:rsidRPr="006F3808">
        <w:t xml:space="preserve"> band</w:t>
      </w:r>
      <w:r w:rsidR="003C2B6F">
        <w:t>s</w:t>
      </w:r>
      <w:r w:rsidR="003C2B6F" w:rsidRPr="00FF1969">
        <w:rPr>
          <w:lang w:val="en-NZ"/>
        </w:rPr>
        <w:t xml:space="preserve"> and should not limit or additionally constrain the future development</w:t>
      </w:r>
      <w:r w:rsidR="003C2B6F">
        <w:rPr>
          <w:lang w:val="en-NZ"/>
        </w:rPr>
        <w:t xml:space="preserve"> of these services</w:t>
      </w:r>
      <w:r w:rsidR="003C2B6F">
        <w:t>.</w:t>
      </w:r>
    </w:p>
    <w:p w14:paraId="2E0E675E" w14:textId="77777777" w:rsidR="00FD6235" w:rsidRPr="003C2B6F" w:rsidRDefault="00FD6235" w:rsidP="00B64A60">
      <w:pPr>
        <w:rPr>
          <w:lang w:val="en-NZ"/>
        </w:rPr>
      </w:pPr>
    </w:p>
    <w:p w14:paraId="2E0E675F" w14:textId="77777777" w:rsidR="00B64A60" w:rsidRPr="008D046E" w:rsidRDefault="00B64A60" w:rsidP="00B64A60">
      <w:pPr>
        <w:spacing w:after="120"/>
        <w:jc w:val="both"/>
        <w:rPr>
          <w:b/>
          <w:lang w:val="en-NZ" w:eastAsia="ko-KR"/>
        </w:rPr>
      </w:pPr>
      <w:r>
        <w:rPr>
          <w:b/>
          <w:lang w:val="en-NZ" w:eastAsia="ko-KR"/>
        </w:rPr>
        <w:t>5.</w:t>
      </w:r>
      <w:r w:rsidRPr="008D046E">
        <w:rPr>
          <w:b/>
          <w:lang w:val="en-NZ" w:eastAsia="ko-KR"/>
        </w:rPr>
        <w:t xml:space="preserve"> </w:t>
      </w:r>
      <w:r w:rsidRPr="008D046E">
        <w:rPr>
          <w:b/>
          <w:lang w:val="en-NZ" w:eastAsia="ko-KR"/>
        </w:rPr>
        <w:tab/>
        <w:t>Other Views</w:t>
      </w:r>
    </w:p>
    <w:p w14:paraId="2E0E6761" w14:textId="0F41F258" w:rsidR="00B64A60" w:rsidRPr="00300897" w:rsidRDefault="003C2B6F" w:rsidP="00992679">
      <w:pPr>
        <w:numPr>
          <w:ilvl w:val="0"/>
          <w:numId w:val="18"/>
        </w:numPr>
        <w:spacing w:afterLines="50" w:after="120"/>
        <w:ind w:leftChars="145" w:left="705" w:hanging="357"/>
        <w:rPr>
          <w:lang w:val="en-NZ"/>
        </w:rPr>
      </w:pPr>
      <w:r w:rsidRPr="00300897">
        <w:rPr>
          <w:lang w:val="en-NZ"/>
        </w:rPr>
        <w:t>N</w:t>
      </w:r>
      <w:r w:rsidR="001933D4">
        <w:rPr>
          <w:lang w:val="en-NZ"/>
        </w:rPr>
        <w:t>one</w:t>
      </w:r>
      <w:r w:rsidRPr="00300897">
        <w:rPr>
          <w:lang w:val="en-NZ"/>
        </w:rPr>
        <w:t xml:space="preserve">. </w:t>
      </w:r>
    </w:p>
    <w:p w14:paraId="11DF0159" w14:textId="3267A27E" w:rsidR="00D53688" w:rsidRDefault="00D53688" w:rsidP="00D53688">
      <w:pPr>
        <w:rPr>
          <w:b/>
          <w:lang w:val="en-NZ"/>
        </w:rPr>
      </w:pPr>
      <w:r>
        <w:rPr>
          <w:b/>
          <w:lang w:val="en-NZ"/>
        </w:rPr>
        <w:t xml:space="preserve">6. </w:t>
      </w:r>
      <w:r>
        <w:rPr>
          <w:b/>
          <w:lang w:val="en-NZ"/>
        </w:rPr>
        <w:tab/>
        <w:t xml:space="preserve">Views from Other </w:t>
      </w:r>
      <w:r w:rsidR="00A564FB">
        <w:rPr>
          <w:b/>
          <w:lang w:val="en-NZ"/>
        </w:rPr>
        <w:t>Organisations</w:t>
      </w:r>
    </w:p>
    <w:p w14:paraId="7B4DBDDB" w14:textId="77777777" w:rsidR="00BA7893" w:rsidRDefault="00BA7893" w:rsidP="00D53688">
      <w:pPr>
        <w:rPr>
          <w:b/>
          <w:lang w:val="en-NZ"/>
        </w:rPr>
      </w:pPr>
    </w:p>
    <w:p w14:paraId="1900BDF1" w14:textId="45C3660B" w:rsidR="00BA7893" w:rsidRDefault="00BA7893" w:rsidP="00BA7893">
      <w:pPr>
        <w:spacing w:after="120"/>
        <w:jc w:val="both"/>
        <w:rPr>
          <w:b/>
          <w:lang w:val="en-NZ" w:eastAsia="ko-KR"/>
        </w:rPr>
      </w:pPr>
      <w:r>
        <w:rPr>
          <w:b/>
          <w:lang w:val="en-NZ" w:eastAsia="ko-KR"/>
        </w:rPr>
        <w:t>6.1 ASMG</w:t>
      </w:r>
    </w:p>
    <w:p w14:paraId="42CF3C38" w14:textId="77777777" w:rsidR="00BA7893" w:rsidRPr="00BA7893" w:rsidRDefault="00BA7893" w:rsidP="00BA7893">
      <w:pPr>
        <w:numPr>
          <w:ilvl w:val="0"/>
          <w:numId w:val="18"/>
        </w:numPr>
        <w:ind w:leftChars="145" w:left="708"/>
        <w:rPr>
          <w:lang w:val="en-NZ"/>
        </w:rPr>
      </w:pPr>
      <w:r w:rsidRPr="00BA7893">
        <w:rPr>
          <w:rFonts w:hint="eastAsia"/>
          <w:lang w:val="en-NZ"/>
        </w:rPr>
        <w:t xml:space="preserve">Protection of assignments and allotments of Appendix 30B and not to impose any restrictions for further </w:t>
      </w:r>
      <w:r w:rsidRPr="00BA7893">
        <w:rPr>
          <w:lang w:val="en-NZ"/>
        </w:rPr>
        <w:t>deployment</w:t>
      </w:r>
      <w:r w:rsidRPr="00BA7893">
        <w:rPr>
          <w:rFonts w:hint="eastAsia"/>
          <w:lang w:val="en-NZ"/>
        </w:rPr>
        <w:t xml:space="preserve"> </w:t>
      </w:r>
      <w:r w:rsidRPr="00BA7893">
        <w:rPr>
          <w:lang w:val="en-NZ"/>
        </w:rPr>
        <w:t>or current recordings.</w:t>
      </w:r>
    </w:p>
    <w:p w14:paraId="23460384" w14:textId="77777777" w:rsidR="00BA7893" w:rsidRPr="00BA7893" w:rsidRDefault="00BA7893" w:rsidP="00BA7893">
      <w:pPr>
        <w:numPr>
          <w:ilvl w:val="0"/>
          <w:numId w:val="18"/>
        </w:numPr>
        <w:ind w:leftChars="145" w:left="708"/>
        <w:rPr>
          <w:lang w:val="en-NZ"/>
        </w:rPr>
      </w:pPr>
      <w:r w:rsidRPr="00BA7893">
        <w:rPr>
          <w:lang w:val="en-NZ"/>
        </w:rPr>
        <w:t xml:space="preserve">Not supporting the modification of the </w:t>
      </w:r>
      <w:proofErr w:type="spellStart"/>
      <w:r w:rsidRPr="00BA7893">
        <w:rPr>
          <w:lang w:val="en-NZ"/>
        </w:rPr>
        <w:t>epfd</w:t>
      </w:r>
      <w:proofErr w:type="spellEnd"/>
      <w:r w:rsidRPr="00BA7893">
        <w:rPr>
          <w:lang w:val="en-NZ"/>
        </w:rPr>
        <w:t xml:space="preserve"> spectrum density previously assigned to protect fixed satellite service systems in these bands.</w:t>
      </w:r>
    </w:p>
    <w:p w14:paraId="5001AA41" w14:textId="77777777" w:rsidR="00BA7893" w:rsidRPr="00BA7893" w:rsidRDefault="00BA7893" w:rsidP="00BA7893">
      <w:pPr>
        <w:numPr>
          <w:ilvl w:val="0"/>
          <w:numId w:val="18"/>
        </w:numPr>
        <w:ind w:leftChars="145" w:left="708"/>
        <w:rPr>
          <w:lang w:val="en-NZ"/>
        </w:rPr>
      </w:pPr>
      <w:r w:rsidRPr="00BA7893">
        <w:rPr>
          <w:lang w:val="en-NZ"/>
        </w:rPr>
        <w:t xml:space="preserve">Not to support the designation of different </w:t>
      </w:r>
      <w:proofErr w:type="spellStart"/>
      <w:r w:rsidRPr="00BA7893">
        <w:rPr>
          <w:lang w:val="en-NZ"/>
        </w:rPr>
        <w:t>epfd</w:t>
      </w:r>
      <w:proofErr w:type="spellEnd"/>
      <w:r w:rsidRPr="00BA7893">
        <w:rPr>
          <w:lang w:val="en-NZ"/>
        </w:rPr>
        <w:t xml:space="preserve"> values in radio regulations, to be considered to the extent of ITU recommendations regarding coordination procedures between GSO and NGSO.</w:t>
      </w:r>
    </w:p>
    <w:p w14:paraId="4F2AE3DF" w14:textId="77777777" w:rsidR="00BA7893" w:rsidRPr="00BA7893" w:rsidRDefault="00BA7893" w:rsidP="00BA7893">
      <w:pPr>
        <w:numPr>
          <w:ilvl w:val="0"/>
          <w:numId w:val="18"/>
        </w:numPr>
        <w:ind w:leftChars="145" w:left="708"/>
        <w:rPr>
          <w:lang w:val="en-NZ"/>
        </w:rPr>
      </w:pPr>
      <w:r w:rsidRPr="00BA7893">
        <w:rPr>
          <w:lang w:val="en-NZ"/>
        </w:rPr>
        <w:t>Follow up existing studies related to this issue.</w:t>
      </w:r>
    </w:p>
    <w:p w14:paraId="707985C6" w14:textId="3B74C092" w:rsidR="00BA7893" w:rsidRDefault="00BA7893" w:rsidP="00BA7893">
      <w:pPr>
        <w:numPr>
          <w:ilvl w:val="0"/>
          <w:numId w:val="18"/>
        </w:numPr>
        <w:ind w:leftChars="145" w:left="708"/>
        <w:rPr>
          <w:lang w:val="en-NZ"/>
        </w:rPr>
      </w:pPr>
      <w:r w:rsidRPr="00BA7893">
        <w:rPr>
          <w:lang w:val="en-NZ"/>
        </w:rPr>
        <w:t>Invite concerned working groups in ASMG to follow-up this issue in order to ensure the protection of fixed services, especially in adjacent bands.</w:t>
      </w:r>
    </w:p>
    <w:p w14:paraId="0EACF3A3" w14:textId="77777777" w:rsidR="00BA7893" w:rsidRPr="00BA7893" w:rsidRDefault="00BA7893" w:rsidP="00BA7893">
      <w:pPr>
        <w:ind w:left="348"/>
        <w:rPr>
          <w:lang w:val="en-NZ"/>
        </w:rPr>
      </w:pPr>
    </w:p>
    <w:p w14:paraId="6F2A41DF" w14:textId="7CF9863C" w:rsidR="00955E3A" w:rsidRDefault="00955E3A" w:rsidP="00955E3A">
      <w:pPr>
        <w:spacing w:after="120"/>
        <w:jc w:val="both"/>
        <w:rPr>
          <w:b/>
          <w:lang w:val="en-NZ" w:eastAsia="ko-KR"/>
        </w:rPr>
      </w:pPr>
      <w:r>
        <w:rPr>
          <w:b/>
          <w:lang w:val="en-NZ" w:eastAsia="ko-KR"/>
        </w:rPr>
        <w:t>6.2 CEPT</w:t>
      </w:r>
    </w:p>
    <w:p w14:paraId="432DF2A3" w14:textId="77777777" w:rsidR="00955E3A" w:rsidRPr="00B97869" w:rsidRDefault="00955E3A" w:rsidP="00955E3A">
      <w:pPr>
        <w:spacing w:after="120"/>
        <w:jc w:val="both"/>
        <w:rPr>
          <w:lang w:val="en-NZ" w:eastAsia="ko-KR"/>
        </w:rPr>
      </w:pPr>
      <w:r w:rsidRPr="00B97869">
        <w:rPr>
          <w:lang w:val="en-NZ" w:eastAsia="ko-KR"/>
        </w:rPr>
        <w:t>CEPT supports the study of technical and operational issues and regulatory provisions for new</w:t>
      </w:r>
      <w:r>
        <w:rPr>
          <w:rFonts w:eastAsiaTheme="minorEastAsia" w:hint="eastAsia"/>
          <w:lang w:val="en-NZ" w:eastAsia="zh-CN"/>
        </w:rPr>
        <w:t xml:space="preserve"> </w:t>
      </w:r>
      <w:r w:rsidRPr="00B97869">
        <w:rPr>
          <w:lang w:val="en-NZ" w:eastAsia="ko-KR"/>
        </w:rPr>
        <w:t>non-geostationary-satellite orbit systems in the 3700-4200 MHz, 4500-4800 MHz, 5925-6425 MHz</w:t>
      </w:r>
      <w:r>
        <w:rPr>
          <w:rFonts w:eastAsiaTheme="minorEastAsia" w:hint="eastAsia"/>
          <w:lang w:val="en-NZ" w:eastAsia="zh-CN"/>
        </w:rPr>
        <w:t xml:space="preserve"> </w:t>
      </w:r>
      <w:r w:rsidRPr="00B97869">
        <w:rPr>
          <w:lang w:val="en-NZ" w:eastAsia="ko-KR"/>
        </w:rPr>
        <w:t xml:space="preserve">and 6725-7025 MHz frequency bands under the terms of Resolution </w:t>
      </w:r>
      <w:r w:rsidRPr="00B97869">
        <w:rPr>
          <w:b/>
          <w:lang w:val="en-NZ" w:eastAsia="ko-KR"/>
        </w:rPr>
        <w:t>157 (WRC-15)</w:t>
      </w:r>
      <w:r w:rsidRPr="00B97869">
        <w:rPr>
          <w:lang w:val="en-NZ" w:eastAsia="ko-KR"/>
        </w:rPr>
        <w:t>.</w:t>
      </w:r>
    </w:p>
    <w:p w14:paraId="54C21CF9" w14:textId="77777777" w:rsidR="00955E3A" w:rsidRPr="00B97869" w:rsidRDefault="00955E3A" w:rsidP="00955E3A">
      <w:pPr>
        <w:spacing w:after="120"/>
        <w:jc w:val="both"/>
        <w:rPr>
          <w:lang w:val="en-NZ" w:eastAsia="ko-KR"/>
        </w:rPr>
      </w:pPr>
      <w:r w:rsidRPr="00B97869">
        <w:rPr>
          <w:lang w:val="en-NZ" w:eastAsia="ko-KR"/>
        </w:rPr>
        <w:t>CEPT supports the protection of GSO/NGSO FSS, mobile and fixed services under these studies.</w:t>
      </w:r>
      <w:r>
        <w:rPr>
          <w:rFonts w:eastAsiaTheme="minorEastAsia" w:hint="eastAsia"/>
          <w:lang w:val="en-NZ" w:eastAsia="zh-CN"/>
        </w:rPr>
        <w:t xml:space="preserve"> </w:t>
      </w:r>
      <w:r w:rsidRPr="00B97869">
        <w:rPr>
          <w:lang w:val="en-NZ" w:eastAsia="ko-KR"/>
        </w:rPr>
        <w:t>No additional constrains should be applied to existing GSO and non-GSO FSS networks in the</w:t>
      </w:r>
      <w:r>
        <w:rPr>
          <w:rFonts w:eastAsiaTheme="minorEastAsia" w:hint="eastAsia"/>
          <w:lang w:val="en-NZ" w:eastAsia="zh-CN"/>
        </w:rPr>
        <w:t xml:space="preserve"> </w:t>
      </w:r>
      <w:r w:rsidRPr="00B97869">
        <w:rPr>
          <w:lang w:val="en-NZ" w:eastAsia="ko-KR"/>
        </w:rPr>
        <w:t>frequency bands 3 700-4 200 MHz (space-to-Earth) and 5 925-6 725 MHz (Earth-to-space).</w:t>
      </w:r>
      <w:r>
        <w:rPr>
          <w:rFonts w:eastAsiaTheme="minorEastAsia" w:hint="eastAsia"/>
          <w:lang w:val="en-NZ" w:eastAsia="zh-CN"/>
        </w:rPr>
        <w:t xml:space="preserve"> </w:t>
      </w:r>
      <w:r w:rsidRPr="00B97869">
        <w:rPr>
          <w:lang w:val="en-NZ" w:eastAsia="ko-KR"/>
        </w:rPr>
        <w:t>Furthermore, no additional constraint should apply to terrestrial services.</w:t>
      </w:r>
      <w:r>
        <w:rPr>
          <w:rFonts w:eastAsiaTheme="minorEastAsia" w:hint="eastAsia"/>
          <w:lang w:val="en-NZ" w:eastAsia="zh-CN"/>
        </w:rPr>
        <w:t xml:space="preserve"> </w:t>
      </w:r>
    </w:p>
    <w:p w14:paraId="35DE5A6B" w14:textId="77777777" w:rsidR="00955E3A" w:rsidRDefault="00955E3A" w:rsidP="00955E3A">
      <w:pPr>
        <w:spacing w:after="120"/>
        <w:jc w:val="both"/>
        <w:rPr>
          <w:lang w:val="en-NZ" w:eastAsia="ko-KR"/>
        </w:rPr>
      </w:pPr>
      <w:r w:rsidRPr="00B97869">
        <w:rPr>
          <w:rFonts w:hint="eastAsia"/>
          <w:lang w:val="en-NZ" w:eastAsia="ko-KR"/>
        </w:rPr>
        <w:t xml:space="preserve">CEPT is of the view that when considering the Article </w:t>
      </w:r>
      <w:r w:rsidRPr="00B97869">
        <w:rPr>
          <w:rFonts w:hint="eastAsia"/>
          <w:b/>
          <w:lang w:val="en-NZ" w:eastAsia="ko-KR"/>
        </w:rPr>
        <w:t>22</w:t>
      </w:r>
      <w:r w:rsidRPr="00B97869">
        <w:rPr>
          <w:rFonts w:hint="eastAsia"/>
          <w:lang w:val="en-NZ" w:eastAsia="ko-KR"/>
        </w:rPr>
        <w:t xml:space="preserve"> </w:t>
      </w:r>
      <w:proofErr w:type="spellStart"/>
      <w:r w:rsidRPr="00B97869">
        <w:rPr>
          <w:rFonts w:hint="eastAsia"/>
          <w:lang w:val="en-NZ" w:eastAsia="ko-KR"/>
        </w:rPr>
        <w:t>epfd</w:t>
      </w:r>
      <w:proofErr w:type="spellEnd"/>
      <w:r w:rsidRPr="00B97869">
        <w:rPr>
          <w:rFonts w:hint="eastAsia"/>
          <w:lang w:val="en-NZ" w:eastAsia="ko-KR"/>
        </w:rPr>
        <w:t>↓</w:t>
      </w:r>
      <w:r w:rsidRPr="00B97869">
        <w:rPr>
          <w:rFonts w:hint="eastAsia"/>
          <w:lang w:val="en-NZ" w:eastAsia="ko-KR"/>
        </w:rPr>
        <w:t xml:space="preserve"> limits and </w:t>
      </w:r>
      <w:proofErr w:type="spellStart"/>
      <w:r w:rsidRPr="00B97869">
        <w:rPr>
          <w:rFonts w:hint="eastAsia"/>
          <w:lang w:val="en-NZ" w:eastAsia="ko-KR"/>
        </w:rPr>
        <w:t>epfd</w:t>
      </w:r>
      <w:proofErr w:type="spellEnd"/>
      <w:r w:rsidRPr="00B97869">
        <w:rPr>
          <w:rFonts w:hint="eastAsia"/>
          <w:lang w:val="en-NZ" w:eastAsia="ko-KR"/>
        </w:rPr>
        <w:t>↑</w:t>
      </w:r>
      <w:r w:rsidRPr="00B97869">
        <w:rPr>
          <w:rFonts w:hint="eastAsia"/>
          <w:lang w:val="en-NZ" w:eastAsia="ko-KR"/>
        </w:rPr>
        <w:t xml:space="preserve"> limits</w:t>
      </w:r>
      <w:r>
        <w:rPr>
          <w:rFonts w:eastAsiaTheme="minorEastAsia" w:hint="eastAsia"/>
          <w:lang w:val="en-NZ" w:eastAsia="zh-CN"/>
        </w:rPr>
        <w:t xml:space="preserve"> </w:t>
      </w:r>
      <w:r w:rsidRPr="00B97869">
        <w:rPr>
          <w:lang w:val="en-NZ" w:eastAsia="ko-KR"/>
        </w:rPr>
        <w:t>applicable to non-GSO systems in the frequency bands 3700-4200 MHz (space-to-Earth),</w:t>
      </w:r>
      <w:r>
        <w:rPr>
          <w:rFonts w:eastAsiaTheme="minorEastAsia" w:hint="eastAsia"/>
          <w:lang w:val="en-NZ" w:eastAsia="zh-CN"/>
        </w:rPr>
        <w:t xml:space="preserve"> </w:t>
      </w:r>
      <w:r w:rsidRPr="00B97869">
        <w:rPr>
          <w:lang w:val="en-NZ" w:eastAsia="ko-KR"/>
        </w:rPr>
        <w:t>5925-6425 MHz (Earth-to-space), 4500-4800 MHz (space-to-Earth) and 6725-7025</w:t>
      </w:r>
      <w:r>
        <w:rPr>
          <w:rFonts w:eastAsiaTheme="minorEastAsia" w:hint="eastAsia"/>
          <w:lang w:val="en-NZ" w:eastAsia="zh-CN"/>
        </w:rPr>
        <w:t xml:space="preserve"> </w:t>
      </w:r>
      <w:r w:rsidRPr="00B97869">
        <w:rPr>
          <w:lang w:val="en-NZ" w:eastAsia="ko-KR"/>
        </w:rPr>
        <w:t>MHz (Earth-to-space) it is necessary to ensure the protection of GSO FSS networks</w:t>
      </w:r>
      <w:r>
        <w:rPr>
          <w:rFonts w:eastAsiaTheme="minorEastAsia" w:hint="eastAsia"/>
          <w:lang w:val="en-NZ" w:eastAsia="zh-CN"/>
        </w:rPr>
        <w:t xml:space="preserve"> </w:t>
      </w:r>
      <w:r w:rsidRPr="00B97869">
        <w:rPr>
          <w:lang w:val="en-NZ" w:eastAsia="ko-KR"/>
        </w:rPr>
        <w:t xml:space="preserve">from unacceptable interference pursuant to </w:t>
      </w:r>
      <w:r w:rsidRPr="00B97869">
        <w:rPr>
          <w:b/>
          <w:lang w:val="en-NZ" w:eastAsia="ko-KR"/>
        </w:rPr>
        <w:t>22.2</w:t>
      </w:r>
      <w:r w:rsidRPr="00B97869">
        <w:rPr>
          <w:lang w:val="en-NZ" w:eastAsia="ko-KR"/>
        </w:rPr>
        <w:t xml:space="preserve"> RR as applicable, including the</w:t>
      </w:r>
      <w:r>
        <w:rPr>
          <w:rFonts w:eastAsiaTheme="minorEastAsia" w:hint="eastAsia"/>
          <w:lang w:val="en-NZ" w:eastAsia="zh-CN"/>
        </w:rPr>
        <w:t xml:space="preserve"> </w:t>
      </w:r>
      <w:r w:rsidRPr="00B97869">
        <w:rPr>
          <w:lang w:val="en-NZ" w:eastAsia="ko-KR"/>
        </w:rPr>
        <w:t xml:space="preserve">allotments of the Plan and assignments in the Appendix </w:t>
      </w:r>
      <w:r w:rsidRPr="0098026D">
        <w:rPr>
          <w:b/>
          <w:lang w:val="en-NZ" w:eastAsia="ko-KR"/>
        </w:rPr>
        <w:t>30B</w:t>
      </w:r>
      <w:r w:rsidRPr="00B97869">
        <w:rPr>
          <w:lang w:val="en-NZ" w:eastAsia="ko-KR"/>
        </w:rPr>
        <w:t xml:space="preserve"> List.</w:t>
      </w:r>
    </w:p>
    <w:p w14:paraId="2E3F8C2B" w14:textId="77777777" w:rsidR="00955E3A" w:rsidRDefault="00955E3A" w:rsidP="00955E3A">
      <w:pPr>
        <w:spacing w:after="240"/>
        <w:jc w:val="both"/>
        <w:rPr>
          <w:rFonts w:eastAsiaTheme="minorEastAsia"/>
          <w:lang w:val="en-NZ" w:eastAsia="zh-CN"/>
        </w:rPr>
      </w:pPr>
      <w:r w:rsidRPr="00B97869">
        <w:rPr>
          <w:lang w:val="en-NZ" w:eastAsia="ko-KR"/>
        </w:rPr>
        <w:t>CEPT is of the view that studies should take into accoun</w:t>
      </w:r>
      <w:r>
        <w:rPr>
          <w:lang w:val="en-NZ" w:eastAsia="ko-KR"/>
        </w:rPr>
        <w:t>t that the protection of mobile</w:t>
      </w:r>
      <w:r>
        <w:rPr>
          <w:rFonts w:eastAsiaTheme="minorEastAsia" w:hint="eastAsia"/>
          <w:lang w:val="en-NZ" w:eastAsia="zh-CN"/>
        </w:rPr>
        <w:t xml:space="preserve"> </w:t>
      </w:r>
      <w:r w:rsidRPr="00B97869">
        <w:rPr>
          <w:lang w:val="en-NZ" w:eastAsia="ko-KR"/>
        </w:rPr>
        <w:t>service is ensured regardless of the allocation status of the mobile service.</w:t>
      </w:r>
      <w:r>
        <w:rPr>
          <w:rFonts w:eastAsiaTheme="minorEastAsia" w:hint="eastAsia"/>
          <w:lang w:val="en-NZ" w:eastAsia="zh-CN"/>
        </w:rPr>
        <w:t xml:space="preserve"> </w:t>
      </w:r>
    </w:p>
    <w:p w14:paraId="2BAC707E" w14:textId="0532095F" w:rsidR="00BA7893" w:rsidRDefault="00955E3A" w:rsidP="00BA7893">
      <w:pPr>
        <w:spacing w:after="120"/>
        <w:jc w:val="both"/>
        <w:rPr>
          <w:b/>
          <w:lang w:val="en-NZ" w:eastAsia="ko-KR"/>
        </w:rPr>
      </w:pPr>
      <w:r>
        <w:rPr>
          <w:b/>
          <w:lang w:val="en-NZ" w:eastAsia="ko-KR"/>
        </w:rPr>
        <w:t>6.3</w:t>
      </w:r>
      <w:r w:rsidR="00BA7893">
        <w:rPr>
          <w:b/>
          <w:lang w:val="en-NZ" w:eastAsia="ko-KR"/>
        </w:rPr>
        <w:t xml:space="preserve"> CITEL</w:t>
      </w:r>
    </w:p>
    <w:p w14:paraId="742E7D33" w14:textId="0EE83082" w:rsidR="00BA7893" w:rsidRDefault="00BA7893" w:rsidP="00D53688">
      <w:pPr>
        <w:rPr>
          <w:lang w:eastAsia="ja-JP"/>
        </w:rPr>
      </w:pPr>
    </w:p>
    <w:p w14:paraId="7D821134" w14:textId="0B55A151" w:rsidR="00797A9C" w:rsidRDefault="0003673C" w:rsidP="00992679">
      <w:pPr>
        <w:widowControl w:val="0"/>
        <w:kinsoku w:val="0"/>
        <w:overflowPunct w:val="0"/>
        <w:autoSpaceDE w:val="0"/>
        <w:autoSpaceDN w:val="0"/>
        <w:adjustRightInd w:val="0"/>
        <w:snapToGrid w:val="0"/>
        <w:spacing w:afterLines="50" w:after="120"/>
        <w:rPr>
          <w:b/>
          <w:lang w:val="en-NZ"/>
        </w:rPr>
      </w:pPr>
      <w:r>
        <w:rPr>
          <w:b/>
          <w:lang w:val="en-NZ"/>
        </w:rPr>
        <w:t>CAN</w:t>
      </w:r>
      <w:r w:rsidR="00797A9C" w:rsidRPr="00797A9C">
        <w:rPr>
          <w:b/>
          <w:lang w:val="en-NZ"/>
        </w:rPr>
        <w:t xml:space="preserve">: </w:t>
      </w:r>
    </w:p>
    <w:p w14:paraId="5CB8D442" w14:textId="48411B61" w:rsidR="00797A9C" w:rsidRPr="00992679" w:rsidRDefault="00797A9C" w:rsidP="00992679">
      <w:pPr>
        <w:widowControl w:val="0"/>
        <w:kinsoku w:val="0"/>
        <w:overflowPunct w:val="0"/>
        <w:autoSpaceDE w:val="0"/>
        <w:autoSpaceDN w:val="0"/>
        <w:adjustRightInd w:val="0"/>
        <w:snapToGrid w:val="0"/>
        <w:spacing w:afterLines="50" w:after="120"/>
        <w:rPr>
          <w:lang w:eastAsia="ja-JP"/>
        </w:rPr>
      </w:pPr>
      <w:r w:rsidRPr="00992679">
        <w:rPr>
          <w:lang w:val="id-ID"/>
        </w:rPr>
        <w:t>Supports the studies under Resolution 157 (WRC</w:t>
      </w:r>
      <w:r w:rsidR="00353E0A" w:rsidRPr="00992679">
        <w:rPr>
          <w:lang w:val="id-ID"/>
        </w:rPr>
        <w:t>-</w:t>
      </w:r>
      <w:r w:rsidRPr="00992679">
        <w:rPr>
          <w:lang w:val="id-ID"/>
        </w:rPr>
        <w:t>15) for new non</w:t>
      </w:r>
      <w:r w:rsidR="00353E0A" w:rsidRPr="00992679">
        <w:rPr>
          <w:lang w:val="id-ID"/>
        </w:rPr>
        <w:t>-</w:t>
      </w:r>
      <w:r w:rsidRPr="00992679">
        <w:rPr>
          <w:lang w:val="id-ID"/>
        </w:rPr>
        <w:t xml:space="preserve">GSO FSS satellite </w:t>
      </w:r>
      <w:r w:rsidR="0003673C">
        <w:rPr>
          <w:lang w:val="id-ID"/>
        </w:rPr>
        <w:t xml:space="preserve">systems. </w:t>
      </w:r>
      <w:r w:rsidRPr="00992679">
        <w:rPr>
          <w:lang w:val="id-ID"/>
        </w:rPr>
        <w:lastRenderedPageBreak/>
        <w:t>Any modification to Article 22 for the inclusion of epfd limits for non</w:t>
      </w:r>
      <w:r w:rsidRPr="00992679">
        <w:rPr>
          <w:rFonts w:ascii="Microsoft YaHei" w:eastAsia="Microsoft YaHei" w:hAnsi="Microsoft YaHei" w:cs="Microsoft YaHei"/>
          <w:lang w:val="id-ID"/>
        </w:rPr>
        <w:t>‐</w:t>
      </w:r>
      <w:r w:rsidRPr="00992679">
        <w:rPr>
          <w:lang w:val="id-ID"/>
        </w:rPr>
        <w:t xml:space="preserve">GSO FSS </w:t>
      </w:r>
      <w:r w:rsidR="0003673C">
        <w:rPr>
          <w:lang w:val="id-ID"/>
        </w:rPr>
        <w:t xml:space="preserve">systems in the </w:t>
      </w:r>
      <w:r w:rsidRPr="00992679">
        <w:rPr>
          <w:lang w:val="id-ID"/>
        </w:rPr>
        <w:t>bands 4 500</w:t>
      </w:r>
      <w:r w:rsidRPr="00992679">
        <w:rPr>
          <w:rFonts w:ascii="Microsoft YaHei" w:eastAsia="Microsoft YaHei" w:hAnsi="Microsoft YaHei" w:cs="Microsoft YaHei"/>
          <w:lang w:val="id-ID"/>
        </w:rPr>
        <w:t>‐</w:t>
      </w:r>
      <w:r w:rsidRPr="00992679">
        <w:rPr>
          <w:lang w:val="id-ID"/>
        </w:rPr>
        <w:t>4 800 MHz (space</w:t>
      </w:r>
      <w:r w:rsidR="00353E0A" w:rsidRPr="00992679">
        <w:rPr>
          <w:lang w:val="id-ID"/>
        </w:rPr>
        <w:t>-</w:t>
      </w:r>
      <w:r w:rsidRPr="00992679">
        <w:rPr>
          <w:lang w:val="id-ID"/>
        </w:rPr>
        <w:t>to</w:t>
      </w:r>
      <w:r w:rsidR="00353E0A" w:rsidRPr="00992679">
        <w:rPr>
          <w:lang w:val="id-ID"/>
        </w:rPr>
        <w:t>-</w:t>
      </w:r>
      <w:r w:rsidRPr="00992679">
        <w:rPr>
          <w:lang w:val="id-ID"/>
        </w:rPr>
        <w:t>Earth) and 6 725</w:t>
      </w:r>
      <w:r w:rsidR="00353E0A" w:rsidRPr="00992679">
        <w:rPr>
          <w:lang w:val="id-ID"/>
        </w:rPr>
        <w:t>-</w:t>
      </w:r>
      <w:r w:rsidRPr="00992679">
        <w:rPr>
          <w:lang w:val="id-ID"/>
        </w:rPr>
        <w:t>7 025 MHz (Earth</w:t>
      </w:r>
      <w:r w:rsidRPr="00992679">
        <w:rPr>
          <w:rFonts w:ascii="Microsoft YaHei" w:eastAsia="Microsoft YaHei" w:hAnsi="Microsoft YaHei" w:cs="Microsoft YaHei"/>
          <w:lang w:val="id-ID"/>
        </w:rPr>
        <w:t>‐</w:t>
      </w:r>
      <w:r w:rsidRPr="00992679">
        <w:rPr>
          <w:lang w:val="id-ID"/>
        </w:rPr>
        <w:t>to</w:t>
      </w:r>
      <w:r w:rsidRPr="00992679">
        <w:rPr>
          <w:rFonts w:ascii="Microsoft YaHei" w:eastAsia="Microsoft YaHei" w:hAnsi="Microsoft YaHei" w:cs="Microsoft YaHei"/>
          <w:lang w:val="id-ID"/>
        </w:rPr>
        <w:t>‐</w:t>
      </w:r>
      <w:r w:rsidRPr="00992679">
        <w:rPr>
          <w:lang w:val="id-ID"/>
        </w:rPr>
        <w:t xml:space="preserve">space) to protect the geostationary FSS allotments in the Plan and the assignments in the Appendix 30B List can only be considered in conjunction with modifications to Article 5, including No. </w:t>
      </w:r>
      <w:r w:rsidRPr="00992679">
        <w:rPr>
          <w:b/>
          <w:lang w:val="id-ID"/>
        </w:rPr>
        <w:t>5.441</w:t>
      </w:r>
      <w:r w:rsidRPr="00992679">
        <w:rPr>
          <w:lang w:val="id-ID"/>
        </w:rPr>
        <w:t xml:space="preserve"> to authorize use of these bands by non</w:t>
      </w:r>
      <w:r w:rsidRPr="00992679">
        <w:rPr>
          <w:rFonts w:ascii="Microsoft YaHei" w:eastAsia="Microsoft YaHei" w:hAnsi="Microsoft YaHei" w:cs="Microsoft YaHei"/>
          <w:lang w:val="id-ID"/>
        </w:rPr>
        <w:t>‐</w:t>
      </w:r>
      <w:r w:rsidRPr="00992679">
        <w:rPr>
          <w:lang w:val="id-ID"/>
        </w:rPr>
        <w:t>GSO FSS systems. This footnote specifies that the use of the bands by the FSS shall be in accordance with Appendix 30B, which is limited to the geostationary</w:t>
      </w:r>
      <w:r w:rsidR="00353E0A" w:rsidRPr="00992679">
        <w:rPr>
          <w:lang w:val="id-ID"/>
        </w:rPr>
        <w:t>-</w:t>
      </w:r>
      <w:r w:rsidRPr="00992679">
        <w:rPr>
          <w:lang w:val="id-ID"/>
        </w:rPr>
        <w:t>satellite of the fixed</w:t>
      </w:r>
      <w:r w:rsidR="00353E0A" w:rsidRPr="00992679">
        <w:rPr>
          <w:lang w:val="id-ID"/>
        </w:rPr>
        <w:t>-</w:t>
      </w:r>
      <w:r w:rsidRPr="00992679">
        <w:rPr>
          <w:lang w:val="id-ID"/>
        </w:rPr>
        <w:t>satellite service. This is not the case in the bands 3 700</w:t>
      </w:r>
      <w:r w:rsidR="00353E0A" w:rsidRPr="00992679">
        <w:rPr>
          <w:lang w:val="id-ID"/>
        </w:rPr>
        <w:t>-</w:t>
      </w:r>
      <w:r w:rsidRPr="00992679">
        <w:rPr>
          <w:lang w:val="id-ID"/>
        </w:rPr>
        <w:t>4 200 MHz and 5 925</w:t>
      </w:r>
      <w:r w:rsidR="00353E0A" w:rsidRPr="00992679">
        <w:rPr>
          <w:lang w:val="id-ID"/>
        </w:rPr>
        <w:t>-</w:t>
      </w:r>
      <w:r w:rsidRPr="00992679">
        <w:rPr>
          <w:lang w:val="id-ID"/>
        </w:rPr>
        <w:t>6 425 MHz where non</w:t>
      </w:r>
      <w:r w:rsidR="00353E0A" w:rsidRPr="00992679">
        <w:rPr>
          <w:lang w:val="id-ID"/>
        </w:rPr>
        <w:t>-</w:t>
      </w:r>
      <w:r w:rsidRPr="00992679">
        <w:rPr>
          <w:lang w:val="id-ID"/>
        </w:rPr>
        <w:t>GSO FSS are currently allowed without any restrictions in Article 5. Similarly, the adoption of regulatory measures to protect terrestrial services in the band 4 500</w:t>
      </w:r>
      <w:r w:rsidR="00353E0A" w:rsidRPr="00992679">
        <w:rPr>
          <w:lang w:val="id-ID"/>
        </w:rPr>
        <w:t>-</w:t>
      </w:r>
      <w:r w:rsidRPr="00992679">
        <w:rPr>
          <w:lang w:val="id-ID"/>
        </w:rPr>
        <w:t>4 800 MHz (space to</w:t>
      </w:r>
      <w:r w:rsidR="00353E0A" w:rsidRPr="00992679">
        <w:rPr>
          <w:lang w:val="id-ID"/>
        </w:rPr>
        <w:t xml:space="preserve"> </w:t>
      </w:r>
      <w:r w:rsidRPr="00992679">
        <w:rPr>
          <w:lang w:val="id-ID"/>
        </w:rPr>
        <w:t xml:space="preserve">Earth) can only be considered in conjunction with modifications to No. </w:t>
      </w:r>
      <w:r w:rsidRPr="00992679">
        <w:rPr>
          <w:b/>
          <w:lang w:eastAsia="ja-JP"/>
        </w:rPr>
        <w:t>5.441</w:t>
      </w:r>
      <w:r w:rsidRPr="00992679">
        <w:rPr>
          <w:lang w:eastAsia="ja-JP"/>
        </w:rPr>
        <w:t>.</w:t>
      </w:r>
    </w:p>
    <w:p w14:paraId="5345A3D8" w14:textId="50611294" w:rsidR="00797A9C" w:rsidRPr="00992679" w:rsidRDefault="00797A9C" w:rsidP="00992679">
      <w:pPr>
        <w:widowControl w:val="0"/>
        <w:kinsoku w:val="0"/>
        <w:overflowPunct w:val="0"/>
        <w:autoSpaceDE w:val="0"/>
        <w:autoSpaceDN w:val="0"/>
        <w:adjustRightInd w:val="0"/>
        <w:snapToGrid w:val="0"/>
        <w:spacing w:afterLines="50" w:after="120"/>
        <w:rPr>
          <w:lang w:val="id-ID"/>
        </w:rPr>
      </w:pPr>
      <w:r w:rsidRPr="00992679">
        <w:rPr>
          <w:lang w:val="id-ID"/>
        </w:rPr>
        <w:t>Canada also notes that under the current regulatory framework, the protection of the non</w:t>
      </w:r>
      <w:r w:rsidR="00353E0A" w:rsidRPr="00992679">
        <w:rPr>
          <w:lang w:val="id-ID"/>
        </w:rPr>
        <w:t>-</w:t>
      </w:r>
      <w:r w:rsidRPr="00992679">
        <w:rPr>
          <w:lang w:val="id-ID"/>
        </w:rPr>
        <w:t>GSO MSS feeder link receiving earth station from non</w:t>
      </w:r>
      <w:r w:rsidR="00353E0A" w:rsidRPr="00992679">
        <w:rPr>
          <w:lang w:val="id-ID"/>
        </w:rPr>
        <w:t>-</w:t>
      </w:r>
      <w:r w:rsidRPr="00992679">
        <w:rPr>
          <w:lang w:val="id-ID"/>
        </w:rPr>
        <w:t xml:space="preserve">GSO FSS transmitting earth station in the band 6 700 </w:t>
      </w:r>
      <w:r w:rsidR="00353E0A" w:rsidRPr="00992679">
        <w:rPr>
          <w:lang w:val="id-ID"/>
        </w:rPr>
        <w:t>-</w:t>
      </w:r>
      <w:r w:rsidRPr="00992679">
        <w:rPr>
          <w:lang w:val="id-ID"/>
        </w:rPr>
        <w:t>6 72</w:t>
      </w:r>
      <w:r w:rsidR="00353E0A" w:rsidRPr="00992679">
        <w:rPr>
          <w:lang w:val="id-ID"/>
        </w:rPr>
        <w:t>5 MHz and 7 025- 7</w:t>
      </w:r>
      <w:r w:rsidRPr="00992679">
        <w:rPr>
          <w:lang w:val="id-ID"/>
        </w:rPr>
        <w:t xml:space="preserve"> 075 MHz is ensured through the application of coordination procedures under No. </w:t>
      </w:r>
      <w:r w:rsidRPr="00992679">
        <w:rPr>
          <w:b/>
          <w:lang w:val="id-ID"/>
        </w:rPr>
        <w:t>9.17A</w:t>
      </w:r>
      <w:r w:rsidRPr="00992679">
        <w:rPr>
          <w:lang w:val="id-ID"/>
        </w:rPr>
        <w:t xml:space="preserve"> (see also Table 9a in Appendix 7). An extension of these coordination procedures to the band 6 725</w:t>
      </w:r>
      <w:r w:rsidRPr="00992679">
        <w:rPr>
          <w:rFonts w:ascii="Microsoft YaHei" w:eastAsia="Microsoft YaHei" w:hAnsi="Microsoft YaHei" w:cs="Microsoft YaHei"/>
          <w:lang w:val="id-ID"/>
        </w:rPr>
        <w:t>‐</w:t>
      </w:r>
      <w:r w:rsidRPr="00992679">
        <w:rPr>
          <w:lang w:val="id-ID"/>
        </w:rPr>
        <w:t xml:space="preserve">7 025 MHz can only be achieved through modifications to No. </w:t>
      </w:r>
      <w:r w:rsidRPr="00992679">
        <w:rPr>
          <w:b/>
          <w:lang w:val="id-ID"/>
        </w:rPr>
        <w:t xml:space="preserve">5.441 </w:t>
      </w:r>
      <w:r w:rsidRPr="00992679">
        <w:rPr>
          <w:lang w:val="id-ID"/>
        </w:rPr>
        <w:t>referred to above.</w:t>
      </w:r>
    </w:p>
    <w:p w14:paraId="60D72B4F" w14:textId="3452D580" w:rsidR="00B62B73" w:rsidRPr="00992679" w:rsidRDefault="00797A9C" w:rsidP="00992679">
      <w:pPr>
        <w:widowControl w:val="0"/>
        <w:kinsoku w:val="0"/>
        <w:overflowPunct w:val="0"/>
        <w:autoSpaceDE w:val="0"/>
        <w:autoSpaceDN w:val="0"/>
        <w:adjustRightInd w:val="0"/>
        <w:snapToGrid w:val="0"/>
        <w:spacing w:afterLines="50" w:after="120"/>
        <w:rPr>
          <w:rFonts w:eastAsiaTheme="minorEastAsia"/>
          <w:b/>
          <w:lang w:eastAsia="zh-CN"/>
        </w:rPr>
      </w:pPr>
      <w:r w:rsidRPr="00992679">
        <w:rPr>
          <w:b/>
          <w:lang w:eastAsia="ja-JP"/>
        </w:rPr>
        <w:t>B</w:t>
      </w:r>
      <w:r w:rsidR="0003673C">
        <w:rPr>
          <w:rFonts w:eastAsiaTheme="minorEastAsia" w:hint="eastAsia"/>
          <w:b/>
          <w:lang w:eastAsia="zh-CN"/>
        </w:rPr>
        <w:t>:</w:t>
      </w:r>
    </w:p>
    <w:p w14:paraId="69AA9E67" w14:textId="19AC8377" w:rsidR="00797A9C" w:rsidRDefault="00797A9C" w:rsidP="00992679">
      <w:pPr>
        <w:widowControl w:val="0"/>
        <w:kinsoku w:val="0"/>
        <w:overflowPunct w:val="0"/>
        <w:autoSpaceDE w:val="0"/>
        <w:autoSpaceDN w:val="0"/>
        <w:adjustRightInd w:val="0"/>
        <w:snapToGrid w:val="0"/>
        <w:spacing w:afterLines="50" w:after="120"/>
        <w:rPr>
          <w:lang w:eastAsia="ja-JP"/>
        </w:rPr>
      </w:pPr>
      <w:r>
        <w:rPr>
          <w:lang w:eastAsia="ja-JP"/>
        </w:rPr>
        <w:t>The Brazilian Administration is of the view that studies are</w:t>
      </w:r>
      <w:r>
        <w:rPr>
          <w:rFonts w:eastAsiaTheme="minorEastAsia" w:hint="eastAsia"/>
          <w:lang w:eastAsia="zh-CN"/>
        </w:rPr>
        <w:t xml:space="preserve"> </w:t>
      </w:r>
      <w:r>
        <w:rPr>
          <w:lang w:eastAsia="ja-JP"/>
        </w:rPr>
        <w:t>necessary to ensu</w:t>
      </w:r>
      <w:r w:rsidR="0003673C">
        <w:rPr>
          <w:lang w:eastAsia="ja-JP"/>
        </w:rPr>
        <w:t xml:space="preserve">re that the </w:t>
      </w:r>
      <w:r>
        <w:rPr>
          <w:lang w:eastAsia="ja-JP"/>
        </w:rPr>
        <w:t>protection of GSO networks would</w:t>
      </w:r>
      <w:r w:rsidR="00B62B73">
        <w:rPr>
          <w:rFonts w:eastAsiaTheme="minorEastAsia" w:hint="eastAsia"/>
          <w:lang w:eastAsia="zh-CN"/>
        </w:rPr>
        <w:t xml:space="preserve"> </w:t>
      </w:r>
      <w:r>
        <w:rPr>
          <w:lang w:eastAsia="ja-JP"/>
        </w:rPr>
        <w:t xml:space="preserve">not be reduced beyond that currently afforded by Article </w:t>
      </w:r>
      <w:r w:rsidRPr="00992679">
        <w:rPr>
          <w:b/>
          <w:lang w:eastAsia="ja-JP"/>
        </w:rPr>
        <w:t>22</w:t>
      </w:r>
      <w:r>
        <w:rPr>
          <w:lang w:eastAsia="ja-JP"/>
        </w:rPr>
        <w:t xml:space="preserve"> </w:t>
      </w:r>
      <w:proofErr w:type="spellStart"/>
      <w:r>
        <w:rPr>
          <w:lang w:eastAsia="ja-JP"/>
        </w:rPr>
        <w:t>epfd</w:t>
      </w:r>
      <w:proofErr w:type="spellEnd"/>
      <w:r w:rsidR="00B62B73">
        <w:rPr>
          <w:rFonts w:eastAsiaTheme="minorEastAsia" w:hint="eastAsia"/>
          <w:lang w:eastAsia="zh-CN"/>
        </w:rPr>
        <w:t xml:space="preserve"> </w:t>
      </w:r>
      <w:r>
        <w:rPr>
          <w:lang w:eastAsia="ja-JP"/>
        </w:rPr>
        <w:t>limits.</w:t>
      </w:r>
    </w:p>
    <w:p w14:paraId="557F22A3" w14:textId="68D5576E" w:rsidR="00B62B73" w:rsidRPr="00992679" w:rsidRDefault="00B62B73" w:rsidP="00992679">
      <w:pPr>
        <w:widowControl w:val="0"/>
        <w:kinsoku w:val="0"/>
        <w:overflowPunct w:val="0"/>
        <w:autoSpaceDE w:val="0"/>
        <w:autoSpaceDN w:val="0"/>
        <w:adjustRightInd w:val="0"/>
        <w:snapToGrid w:val="0"/>
        <w:spacing w:afterLines="50" w:after="120"/>
        <w:rPr>
          <w:b/>
          <w:lang w:eastAsia="ja-JP"/>
        </w:rPr>
      </w:pPr>
      <w:r w:rsidRPr="00992679">
        <w:rPr>
          <w:b/>
          <w:lang w:eastAsia="ja-JP"/>
        </w:rPr>
        <w:t>USA</w:t>
      </w:r>
      <w:r w:rsidR="0003673C">
        <w:rPr>
          <w:b/>
          <w:lang w:eastAsia="ja-JP"/>
        </w:rPr>
        <w:t>:</w:t>
      </w:r>
    </w:p>
    <w:p w14:paraId="1DB2B91E" w14:textId="096DDF7E" w:rsidR="00B62B73" w:rsidRPr="00992679" w:rsidRDefault="00B62B73" w:rsidP="00992679">
      <w:pPr>
        <w:widowControl w:val="0"/>
        <w:kinsoku w:val="0"/>
        <w:overflowPunct w:val="0"/>
        <w:autoSpaceDE w:val="0"/>
        <w:autoSpaceDN w:val="0"/>
        <w:adjustRightInd w:val="0"/>
        <w:snapToGrid w:val="0"/>
        <w:spacing w:afterLines="50" w:after="120"/>
        <w:rPr>
          <w:lang w:eastAsia="ja-JP"/>
        </w:rPr>
      </w:pPr>
      <w:r>
        <w:rPr>
          <w:lang w:eastAsia="ja-JP"/>
        </w:rPr>
        <w:t>The United States supports the study of a regulatory framework, under the</w:t>
      </w:r>
      <w:r>
        <w:rPr>
          <w:rFonts w:eastAsiaTheme="minorEastAsia" w:hint="eastAsia"/>
          <w:lang w:eastAsia="zh-CN"/>
        </w:rPr>
        <w:t xml:space="preserve"> </w:t>
      </w:r>
      <w:r>
        <w:rPr>
          <w:lang w:eastAsia="ja-JP"/>
        </w:rPr>
        <w:t>terms of Resolution 157 (WRC-15), to enable circular-orbit non-GSO FSS</w:t>
      </w:r>
      <w:r>
        <w:rPr>
          <w:rFonts w:eastAsiaTheme="minorEastAsia" w:hint="eastAsia"/>
          <w:lang w:eastAsia="zh-CN"/>
        </w:rPr>
        <w:t xml:space="preserve"> </w:t>
      </w:r>
      <w:r>
        <w:rPr>
          <w:lang w:eastAsia="ja-JP"/>
        </w:rPr>
        <w:t>satellite systems to operate in the 3 700-4 200 MHz, 4 500-4 800 MHz, 5 925-6</w:t>
      </w:r>
      <w:r>
        <w:rPr>
          <w:rFonts w:eastAsiaTheme="minorEastAsia" w:hint="eastAsia"/>
          <w:lang w:eastAsia="zh-CN"/>
        </w:rPr>
        <w:t xml:space="preserve"> </w:t>
      </w:r>
      <w:r>
        <w:rPr>
          <w:lang w:eastAsia="ja-JP"/>
        </w:rPr>
        <w:t>425 MHz and 6 725-7 025 MHz frequency bands, while ensuring the protection</w:t>
      </w:r>
      <w:r>
        <w:rPr>
          <w:rFonts w:eastAsiaTheme="minorEastAsia" w:hint="eastAsia"/>
          <w:lang w:eastAsia="zh-CN"/>
        </w:rPr>
        <w:t xml:space="preserve"> </w:t>
      </w:r>
      <w:r>
        <w:rPr>
          <w:lang w:eastAsia="ja-JP"/>
        </w:rPr>
        <w:t>of existing services and applications, and to take appropriate action based on</w:t>
      </w:r>
      <w:r>
        <w:rPr>
          <w:rFonts w:eastAsiaTheme="minorEastAsia" w:hint="eastAsia"/>
          <w:lang w:eastAsia="zh-CN"/>
        </w:rPr>
        <w:t xml:space="preserve"> </w:t>
      </w:r>
      <w:r>
        <w:rPr>
          <w:lang w:eastAsia="ja-JP"/>
        </w:rPr>
        <w:t>the results of these studies.</w:t>
      </w:r>
    </w:p>
    <w:p w14:paraId="1C0B61EC" w14:textId="77777777" w:rsidR="00BA7893" w:rsidRDefault="00BA7893" w:rsidP="00D53688">
      <w:pPr>
        <w:rPr>
          <w:b/>
          <w:lang w:val="en-NZ"/>
        </w:rPr>
      </w:pPr>
    </w:p>
    <w:p w14:paraId="116466E5" w14:textId="1988394D" w:rsidR="00BA7893" w:rsidRDefault="00955E3A" w:rsidP="00BA7893">
      <w:pPr>
        <w:spacing w:after="120"/>
        <w:jc w:val="both"/>
        <w:rPr>
          <w:b/>
          <w:lang w:val="en-NZ" w:eastAsia="ko-KR"/>
        </w:rPr>
      </w:pPr>
      <w:r>
        <w:rPr>
          <w:b/>
          <w:lang w:val="en-NZ" w:eastAsia="ko-KR"/>
        </w:rPr>
        <w:t>6.4</w:t>
      </w:r>
      <w:r w:rsidR="00BA7893">
        <w:rPr>
          <w:b/>
          <w:lang w:val="en-NZ" w:eastAsia="ko-KR"/>
        </w:rPr>
        <w:t xml:space="preserve"> RCC</w:t>
      </w:r>
    </w:p>
    <w:p w14:paraId="31485F3B" w14:textId="77777777" w:rsidR="005D7A05" w:rsidRDefault="005D7A05" w:rsidP="005D7A05">
      <w:pPr>
        <w:spacing w:beforeLines="50" w:before="120"/>
      </w:pPr>
      <w:r>
        <w:t xml:space="preserve">The RCC Administrations do not oppose </w:t>
      </w:r>
      <w:r>
        <w:rPr>
          <w:color w:val="000000"/>
        </w:rPr>
        <w:t xml:space="preserve">possible revision of Article </w:t>
      </w:r>
      <w:r>
        <w:rPr>
          <w:b/>
          <w:color w:val="000000"/>
        </w:rPr>
        <w:t>21</w:t>
      </w:r>
      <w:r>
        <w:rPr>
          <w:color w:val="000000"/>
        </w:rPr>
        <w:t xml:space="preserve">, Table </w:t>
      </w:r>
      <w:r>
        <w:rPr>
          <w:b/>
          <w:color w:val="000000"/>
        </w:rPr>
        <w:t>21-4</w:t>
      </w:r>
      <w:r>
        <w:rPr>
          <w:color w:val="000000"/>
        </w:rPr>
        <w:t xml:space="preserve"> for non-GSO FSS satellites, with a view to enabling new non-GSO systems to operate in these FSS frequency bands, while ensuring that existing primary services, i.e. the mobile service and fixed service, are protected, and maintaining the existing Article </w:t>
      </w:r>
      <w:r>
        <w:rPr>
          <w:b/>
          <w:color w:val="000000"/>
        </w:rPr>
        <w:t>21</w:t>
      </w:r>
      <w:r>
        <w:rPr>
          <w:color w:val="000000"/>
        </w:rPr>
        <w:t xml:space="preserve"> </w:t>
      </w:r>
      <w:proofErr w:type="spellStart"/>
      <w:r>
        <w:rPr>
          <w:color w:val="000000"/>
        </w:rPr>
        <w:t>pfd</w:t>
      </w:r>
      <w:proofErr w:type="spellEnd"/>
      <w:r>
        <w:rPr>
          <w:color w:val="000000"/>
        </w:rPr>
        <w:t xml:space="preserve"> limits for GSO networks </w:t>
      </w:r>
      <w:r>
        <w:t>in the frequency band 3700−4200 MHz (space-to-Earth).</w:t>
      </w:r>
    </w:p>
    <w:p w14:paraId="407A1A0C" w14:textId="77777777" w:rsidR="005D7A05" w:rsidRDefault="005D7A05" w:rsidP="0098026D">
      <w:pPr>
        <w:spacing w:beforeLines="50" w:before="120" w:afterLines="50" w:after="120"/>
      </w:pPr>
      <w:r>
        <w:t xml:space="preserve">The RCC Administrations consider that when reviewing RR Article </w:t>
      </w:r>
      <w:r>
        <w:rPr>
          <w:b/>
        </w:rPr>
        <w:t xml:space="preserve">22 </w:t>
      </w:r>
      <w:proofErr w:type="spellStart"/>
      <w:r>
        <w:t>epfd</w:t>
      </w:r>
      <w:proofErr w:type="spellEnd"/>
      <w:r>
        <w:t xml:space="preserve">↓ and </w:t>
      </w:r>
      <w:proofErr w:type="spellStart"/>
      <w:r>
        <w:rPr>
          <w:lang w:eastAsia="ru-RU"/>
        </w:rPr>
        <w:t>e</w:t>
      </w:r>
      <w:r>
        <w:t>pf</w:t>
      </w:r>
      <w:r>
        <w:rPr>
          <w:lang w:eastAsia="ru-RU"/>
        </w:rPr>
        <w:t>d</w:t>
      </w:r>
      <w:proofErr w:type="spellEnd"/>
      <w:r>
        <w:t xml:space="preserve">↑ limits for new non-GSO systems in the frequency bands 3700−4200 MHz (space-to-Earth), 5925−6425 MHz (Earth-to-space), 4500−4800 MHz (space-to-Earth) and 6725−7025 MHz (Earth-to-space), it is necessary to ensure protection of GSO FSS networks, including allotments in the Plan and assignments in the Appendix </w:t>
      </w:r>
      <w:r>
        <w:rPr>
          <w:b/>
        </w:rPr>
        <w:t>30В</w:t>
      </w:r>
      <w:r>
        <w:t xml:space="preserve"> List, without modification of their protection criteria.</w:t>
      </w:r>
    </w:p>
    <w:p w14:paraId="2746205E" w14:textId="77777777" w:rsidR="005D7A05" w:rsidRDefault="005D7A05" w:rsidP="005D7A05">
      <w:r>
        <w:t>The RCC Administrations consider that when determining operation conditions for new non-GSO FSS systems in the frequency bands 3700−4200 MHz (space-to-Earth), 5925−6425 MHz (Earth-to-space), it is necessary to protect existing non-GSO FSS systems in highly elliptical orbits.</w:t>
      </w:r>
    </w:p>
    <w:p w14:paraId="3685F920" w14:textId="77777777" w:rsidR="00BA7893" w:rsidRDefault="00BA7893" w:rsidP="00D53688">
      <w:pPr>
        <w:rPr>
          <w:b/>
          <w:lang w:val="en-NZ"/>
        </w:rPr>
      </w:pPr>
    </w:p>
    <w:p w14:paraId="3AB2EE7E" w14:textId="03F0E76A" w:rsidR="00B97869" w:rsidRPr="00B97869" w:rsidRDefault="00B97869" w:rsidP="00B97869">
      <w:pPr>
        <w:spacing w:after="120"/>
        <w:jc w:val="both"/>
        <w:rPr>
          <w:lang w:val="en-NZ" w:eastAsia="ko-KR"/>
        </w:rPr>
      </w:pPr>
      <w:r w:rsidRPr="00B97869">
        <w:rPr>
          <w:lang w:val="en-NZ" w:eastAsia="ko-KR"/>
        </w:rPr>
        <w:lastRenderedPageBreak/>
        <w:t>In the radio frequency band 3700-4200 MHz (space-to-Earth) CEPT does not object to a</w:t>
      </w:r>
      <w:r>
        <w:rPr>
          <w:rFonts w:eastAsiaTheme="minorEastAsia" w:hint="eastAsia"/>
          <w:lang w:val="en-NZ" w:eastAsia="zh-CN"/>
        </w:rPr>
        <w:t xml:space="preserve"> </w:t>
      </w:r>
      <w:r w:rsidRPr="00B97869">
        <w:rPr>
          <w:lang w:val="en-NZ" w:eastAsia="ko-KR"/>
        </w:rPr>
        <w:t xml:space="preserve">possible revision of Table </w:t>
      </w:r>
      <w:r w:rsidRPr="00B97869">
        <w:rPr>
          <w:b/>
          <w:lang w:val="en-NZ" w:eastAsia="ko-KR"/>
        </w:rPr>
        <w:t>21-4</w:t>
      </w:r>
      <w:r w:rsidRPr="00B97869">
        <w:rPr>
          <w:lang w:val="en-NZ" w:eastAsia="ko-KR"/>
        </w:rPr>
        <w:t xml:space="preserve"> of Article </w:t>
      </w:r>
      <w:r w:rsidRPr="00B97869">
        <w:rPr>
          <w:b/>
          <w:lang w:val="en-NZ" w:eastAsia="ko-KR"/>
        </w:rPr>
        <w:t>21</w:t>
      </w:r>
      <w:r w:rsidRPr="00B97869">
        <w:rPr>
          <w:lang w:val="en-NZ" w:eastAsia="ko-KR"/>
        </w:rPr>
        <w:t xml:space="preserve"> for non-GSO FSS satellites, while ensuring</w:t>
      </w:r>
      <w:r>
        <w:rPr>
          <w:rFonts w:eastAsiaTheme="minorEastAsia" w:hint="eastAsia"/>
          <w:lang w:val="en-NZ" w:eastAsia="zh-CN"/>
        </w:rPr>
        <w:t xml:space="preserve"> </w:t>
      </w:r>
      <w:r w:rsidRPr="00B97869">
        <w:rPr>
          <w:lang w:val="en-NZ" w:eastAsia="ko-KR"/>
        </w:rPr>
        <w:t>that existing primary services, i.e. the mobile service and fixed service, are protected and</w:t>
      </w:r>
      <w:r>
        <w:rPr>
          <w:rFonts w:eastAsiaTheme="minorEastAsia" w:hint="eastAsia"/>
          <w:lang w:val="en-NZ" w:eastAsia="zh-CN"/>
        </w:rPr>
        <w:t xml:space="preserve"> </w:t>
      </w:r>
      <w:r w:rsidRPr="00B97869">
        <w:rPr>
          <w:lang w:val="en-NZ" w:eastAsia="ko-KR"/>
        </w:rPr>
        <w:t xml:space="preserve">maintaining the existing Article </w:t>
      </w:r>
      <w:r w:rsidRPr="0098026D">
        <w:rPr>
          <w:b/>
          <w:lang w:val="en-NZ" w:eastAsia="ko-KR"/>
        </w:rPr>
        <w:t xml:space="preserve">21 </w:t>
      </w:r>
      <w:proofErr w:type="spellStart"/>
      <w:r w:rsidRPr="00B97869">
        <w:rPr>
          <w:lang w:val="en-NZ" w:eastAsia="ko-KR"/>
        </w:rPr>
        <w:t>pfd</w:t>
      </w:r>
      <w:proofErr w:type="spellEnd"/>
      <w:r w:rsidRPr="00B97869">
        <w:rPr>
          <w:lang w:val="en-NZ" w:eastAsia="ko-KR"/>
        </w:rPr>
        <w:t xml:space="preserve"> limits for GSO networks.</w:t>
      </w:r>
    </w:p>
    <w:p w14:paraId="799807C9" w14:textId="15FF1329" w:rsidR="00B97869" w:rsidRPr="00B97869" w:rsidRDefault="00B97869" w:rsidP="00B97869">
      <w:pPr>
        <w:spacing w:after="120"/>
        <w:jc w:val="both"/>
        <w:rPr>
          <w:lang w:val="en-NZ" w:eastAsia="ko-KR"/>
        </w:rPr>
      </w:pPr>
      <w:r w:rsidRPr="00B97869">
        <w:rPr>
          <w:lang w:val="en-NZ" w:eastAsia="ko-KR"/>
        </w:rPr>
        <w:t>When developing technical and operational condi</w:t>
      </w:r>
      <w:r>
        <w:rPr>
          <w:lang w:val="en-NZ" w:eastAsia="ko-KR"/>
        </w:rPr>
        <w:t>tions and regulatory provisions</w:t>
      </w:r>
      <w:r>
        <w:rPr>
          <w:rFonts w:eastAsiaTheme="minorEastAsia" w:hint="eastAsia"/>
          <w:lang w:val="en-NZ" w:eastAsia="zh-CN"/>
        </w:rPr>
        <w:t xml:space="preserve"> </w:t>
      </w:r>
      <w:r w:rsidRPr="00B97869">
        <w:rPr>
          <w:lang w:val="en-NZ" w:eastAsia="ko-KR"/>
        </w:rPr>
        <w:t>for new systems of non-GSO FSS, there is a need to ensure protection of</w:t>
      </w:r>
      <w:r>
        <w:rPr>
          <w:rFonts w:eastAsiaTheme="minorEastAsia" w:hint="eastAsia"/>
          <w:lang w:val="en-NZ" w:eastAsia="zh-CN"/>
        </w:rPr>
        <w:t xml:space="preserve"> </w:t>
      </w:r>
      <w:r w:rsidRPr="00B97869">
        <w:rPr>
          <w:lang w:val="en-NZ" w:eastAsia="ko-KR"/>
        </w:rPr>
        <w:t>existing terrestrial services in the frequency bands 4500-4800 MHz (space-to-Earth),</w:t>
      </w:r>
      <w:r>
        <w:rPr>
          <w:rFonts w:eastAsiaTheme="minorEastAsia" w:hint="eastAsia"/>
          <w:lang w:val="en-NZ" w:eastAsia="zh-CN"/>
        </w:rPr>
        <w:t xml:space="preserve"> </w:t>
      </w:r>
      <w:r w:rsidRPr="00B97869">
        <w:rPr>
          <w:lang w:val="en-NZ" w:eastAsia="ko-KR"/>
        </w:rPr>
        <w:t>5925-6425 MHz (Earth-to-space) and 6725-7075 MHz (Earth-to-space).</w:t>
      </w:r>
    </w:p>
    <w:p w14:paraId="4CB3142B" w14:textId="2F8F4A0E" w:rsidR="00BA7893" w:rsidRPr="00B97869" w:rsidRDefault="00B97869" w:rsidP="00B97869">
      <w:pPr>
        <w:spacing w:after="120"/>
        <w:jc w:val="both"/>
        <w:rPr>
          <w:rFonts w:eastAsiaTheme="minorEastAsia"/>
          <w:b/>
          <w:lang w:val="en-NZ" w:eastAsia="zh-CN"/>
        </w:rPr>
      </w:pPr>
      <w:r>
        <w:rPr>
          <w:rFonts w:eastAsiaTheme="minorEastAsia" w:hint="eastAsia"/>
          <w:b/>
          <w:lang w:val="en-NZ" w:eastAsia="zh-CN"/>
        </w:rPr>
        <w:t>6.</w:t>
      </w:r>
      <w:r w:rsidR="00300897">
        <w:rPr>
          <w:rFonts w:eastAsiaTheme="minorEastAsia"/>
          <w:b/>
          <w:lang w:val="en-NZ" w:eastAsia="zh-CN"/>
        </w:rPr>
        <w:t>5</w:t>
      </w:r>
      <w:r>
        <w:rPr>
          <w:rFonts w:eastAsiaTheme="minorEastAsia" w:hint="eastAsia"/>
          <w:b/>
          <w:lang w:val="en-NZ" w:eastAsia="zh-CN"/>
        </w:rPr>
        <w:t xml:space="preserve"> ICAO</w:t>
      </w:r>
    </w:p>
    <w:p w14:paraId="3C4AE353" w14:textId="4E0D255A" w:rsidR="00B97869" w:rsidRDefault="00B97869" w:rsidP="00B97869">
      <w:pPr>
        <w:spacing w:afterLines="50" w:after="120"/>
        <w:rPr>
          <w:lang w:eastAsia="ja-JP"/>
        </w:rPr>
      </w:pPr>
      <w:r>
        <w:rPr>
          <w:lang w:eastAsia="ja-JP"/>
        </w:rPr>
        <w:t xml:space="preserve">To oppose any new or changes to existing regulatory provisions in Article </w:t>
      </w:r>
      <w:r w:rsidRPr="00B97869">
        <w:rPr>
          <w:b/>
          <w:lang w:eastAsia="ja-JP"/>
        </w:rPr>
        <w:t>21</w:t>
      </w:r>
      <w:r>
        <w:rPr>
          <w:lang w:eastAsia="ja-JP"/>
        </w:rPr>
        <w:t xml:space="preserve"> of the ITU Radio Regulations</w:t>
      </w:r>
      <w:r w:rsidR="002855DF">
        <w:rPr>
          <w:lang w:eastAsia="ja-JP"/>
        </w:rPr>
        <w:t xml:space="preserve"> for the frequency bands 3 700 - 4 200 MHz and 5 925 -</w:t>
      </w:r>
      <w:r>
        <w:rPr>
          <w:lang w:eastAsia="ja-JP"/>
        </w:rPr>
        <w:t xml:space="preserve"> 6 425 MHz unless it has been demonstrated through agreed ITU-R studies that there will be no impact from the potential introduction of new non-geostationary-satellites on aviation use in those bands.</w:t>
      </w:r>
    </w:p>
    <w:p w14:paraId="53CC1FDB" w14:textId="74C61CAE" w:rsidR="00BA7893" w:rsidRDefault="00B97869" w:rsidP="00B97869">
      <w:pPr>
        <w:rPr>
          <w:b/>
          <w:lang w:val="en-NZ"/>
        </w:rPr>
      </w:pPr>
      <w:r>
        <w:rPr>
          <w:lang w:eastAsia="ja-JP"/>
        </w:rPr>
        <w:t>To oppose introduction of new non-geostationary-satellites in frequency bands ne</w:t>
      </w:r>
      <w:r w:rsidR="002855DF">
        <w:rPr>
          <w:lang w:eastAsia="ja-JP"/>
        </w:rPr>
        <w:t xml:space="preserve">ar to the frequency band 4 200 - </w:t>
      </w:r>
      <w:r>
        <w:rPr>
          <w:lang w:eastAsia="ja-JP"/>
        </w:rPr>
        <w:t>4 400 MHz unless aviation use of that band is ensured through agreed ITU-R studies.</w:t>
      </w:r>
    </w:p>
    <w:p w14:paraId="2E0E6762" w14:textId="77777777" w:rsidR="00B64A60" w:rsidRPr="00B64A60" w:rsidRDefault="00B64A60" w:rsidP="00B64A60">
      <w:pPr>
        <w:rPr>
          <w:lang w:val="en-NZ"/>
        </w:rPr>
      </w:pPr>
    </w:p>
    <w:p w14:paraId="2E0E6763" w14:textId="1327959E" w:rsidR="00B64A60" w:rsidRPr="008D046E" w:rsidRDefault="00D53688" w:rsidP="00B64A60">
      <w:pPr>
        <w:spacing w:after="120"/>
        <w:jc w:val="both"/>
        <w:rPr>
          <w:b/>
          <w:lang w:val="en-NZ" w:eastAsia="ko-KR"/>
        </w:rPr>
      </w:pPr>
      <w:r>
        <w:rPr>
          <w:b/>
          <w:lang w:val="en-NZ" w:eastAsia="ko-KR"/>
        </w:rPr>
        <w:t>7</w:t>
      </w:r>
      <w:r w:rsidR="00B64A60">
        <w:rPr>
          <w:b/>
          <w:lang w:val="en-NZ" w:eastAsia="ko-KR"/>
        </w:rPr>
        <w:t>.</w:t>
      </w:r>
      <w:r w:rsidR="00B64A60" w:rsidRPr="008D046E">
        <w:rPr>
          <w:b/>
          <w:lang w:val="en-NZ" w:eastAsia="ko-KR"/>
        </w:rPr>
        <w:t xml:space="preserve"> </w:t>
      </w:r>
      <w:r w:rsidR="00B64A60" w:rsidRPr="008D046E">
        <w:rPr>
          <w:b/>
          <w:lang w:val="en-NZ" w:eastAsia="ko-KR"/>
        </w:rPr>
        <w:tab/>
        <w:t xml:space="preserve">Issues for </w:t>
      </w:r>
      <w:r w:rsidR="00585F3C">
        <w:rPr>
          <w:b/>
          <w:lang w:val="en-NZ" w:eastAsia="ko-KR"/>
        </w:rPr>
        <w:t>C</w:t>
      </w:r>
      <w:r w:rsidR="00B64A60" w:rsidRPr="008D046E">
        <w:rPr>
          <w:b/>
          <w:lang w:val="en-NZ" w:eastAsia="ko-KR"/>
        </w:rPr>
        <w:t xml:space="preserve">onsideration at </w:t>
      </w:r>
      <w:r w:rsidR="00585F3C">
        <w:rPr>
          <w:b/>
          <w:lang w:val="en-NZ" w:eastAsia="ko-KR"/>
        </w:rPr>
        <w:t>N</w:t>
      </w:r>
      <w:r w:rsidR="00B64A60" w:rsidRPr="008D046E">
        <w:rPr>
          <w:b/>
          <w:lang w:val="en-NZ" w:eastAsia="ko-KR"/>
        </w:rPr>
        <w:t xml:space="preserve">ext APG </w:t>
      </w:r>
      <w:r w:rsidR="00585F3C">
        <w:rPr>
          <w:b/>
          <w:lang w:val="en-NZ" w:eastAsia="ko-KR"/>
        </w:rPr>
        <w:t>M</w:t>
      </w:r>
      <w:r w:rsidR="00B64A60" w:rsidRPr="008D046E">
        <w:rPr>
          <w:b/>
          <w:lang w:val="en-NZ" w:eastAsia="ko-KR"/>
        </w:rPr>
        <w:t>eeting</w:t>
      </w:r>
    </w:p>
    <w:p w14:paraId="2E0E6766" w14:textId="1A8C273A" w:rsidR="00B64A60" w:rsidRDefault="00DD3769" w:rsidP="00B64A60">
      <w:pPr>
        <w:jc w:val="both"/>
        <w:rPr>
          <w:lang w:val="en-NZ"/>
        </w:rPr>
      </w:pPr>
      <w:r>
        <w:t>APT Members are invited to follow the progress of ITU-R studies</w:t>
      </w:r>
      <w:r>
        <w:rPr>
          <w:snapToGrid w:val="0"/>
          <w:lang w:val="en-AU"/>
        </w:rPr>
        <w:t>,</w:t>
      </w:r>
      <w:r w:rsidR="00963CE0">
        <w:rPr>
          <w:snapToGrid w:val="0"/>
          <w:lang w:val="en-AU"/>
        </w:rPr>
        <w:t xml:space="preserve"> and</w:t>
      </w:r>
      <w:r w:rsidR="00BF13B7" w:rsidRPr="00B11B5D">
        <w:rPr>
          <w:snapToGrid w:val="0"/>
          <w:lang w:val="en-AU"/>
        </w:rPr>
        <w:t xml:space="preserve"> </w:t>
      </w:r>
      <w:r w:rsidR="00963CE0">
        <w:rPr>
          <w:snapToGrid w:val="0"/>
          <w:lang w:val="en-AU"/>
        </w:rPr>
        <w:t xml:space="preserve">are </w:t>
      </w:r>
      <w:r w:rsidR="00BF13B7" w:rsidRPr="00B11B5D">
        <w:rPr>
          <w:snapToGrid w:val="0"/>
          <w:lang w:val="en-AU"/>
        </w:rPr>
        <w:t xml:space="preserve">encouraged to submit their contributions for further considerations in the next </w:t>
      </w:r>
      <w:r w:rsidR="00300897">
        <w:rPr>
          <w:snapToGrid w:val="0"/>
          <w:lang w:val="en-AU"/>
        </w:rPr>
        <w:t xml:space="preserve">APG </w:t>
      </w:r>
      <w:r w:rsidR="00BF13B7" w:rsidRPr="00B11B5D">
        <w:rPr>
          <w:snapToGrid w:val="0"/>
          <w:lang w:val="en-AU"/>
        </w:rPr>
        <w:t>meeting.</w:t>
      </w:r>
    </w:p>
    <w:p w14:paraId="2E0E6767" w14:textId="77777777" w:rsidR="00B64A60" w:rsidRPr="00963CE0" w:rsidRDefault="00B64A60" w:rsidP="00B64A60">
      <w:pPr>
        <w:jc w:val="both"/>
        <w:rPr>
          <w:lang w:val="en-NZ"/>
        </w:rPr>
      </w:pPr>
    </w:p>
    <w:p w14:paraId="2E0E676F" w14:textId="77777777" w:rsidR="00654896" w:rsidRPr="004F6AAB" w:rsidRDefault="00654896" w:rsidP="00B64A60">
      <w:pPr>
        <w:rPr>
          <w:b/>
          <w:lang w:val="en-NZ"/>
        </w:rPr>
      </w:pPr>
    </w:p>
    <w:p w14:paraId="2E0E6770" w14:textId="77777777" w:rsidR="00B64A60" w:rsidRPr="00710333" w:rsidRDefault="00B64A60" w:rsidP="00B64A60">
      <w:pPr>
        <w:jc w:val="center"/>
        <w:rPr>
          <w:snapToGrid w:val="0"/>
          <w:lang w:val="en-NZ"/>
        </w:rPr>
      </w:pPr>
      <w:r w:rsidRPr="00710333">
        <w:rPr>
          <w:lang w:val="en-NZ"/>
        </w:rPr>
        <w:t>____________</w:t>
      </w:r>
    </w:p>
    <w:p w14:paraId="2E0E6771" w14:textId="77777777" w:rsidR="00930E64" w:rsidRPr="007673CA" w:rsidRDefault="00930E64" w:rsidP="00D13D9D">
      <w:pPr>
        <w:jc w:val="both"/>
        <w:rPr>
          <w:lang w:val="en-NZ"/>
        </w:rPr>
      </w:pPr>
    </w:p>
    <w:sectPr w:rsidR="00930E64" w:rsidRPr="007673CA"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007F1" w14:textId="77777777" w:rsidR="007C1C15" w:rsidRDefault="007C1C15">
      <w:r>
        <w:separator/>
      </w:r>
    </w:p>
  </w:endnote>
  <w:endnote w:type="continuationSeparator" w:id="0">
    <w:p w14:paraId="2E4E4826" w14:textId="77777777" w:rsidR="007C1C15" w:rsidRDefault="007C1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5D253ACA" w:rsidR="0097693B" w:rsidRDefault="00FB5173" w:rsidP="00FB5173">
    <w:pPr>
      <w:pStyle w:val="Footer"/>
      <w:ind w:right="360"/>
    </w:pPr>
    <w:r>
      <w:rPr>
        <w:rFonts w:hint="eastAsia"/>
        <w:lang w:eastAsia="ko-KR"/>
      </w:rPr>
      <w:t>A</w:t>
    </w:r>
    <w:r>
      <w:rPr>
        <w:lang w:eastAsia="ko-KR"/>
      </w:rPr>
      <w:t>PG19-2/OUT-08</w:t>
    </w:r>
    <w:r>
      <w:rPr>
        <w:lang w:eastAsia="ko-KR"/>
      </w:rPr>
      <w:tab/>
    </w:r>
    <w:r>
      <w:rPr>
        <w:lang w:eastAsia="ko-K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Pr>
        <w:rStyle w:val="PageNumber"/>
        <w:noProof/>
      </w:rPr>
      <w:t>2</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14:paraId="2E0E6780" w14:textId="77777777">
      <w:trPr>
        <w:cantSplit/>
        <w:trHeight w:val="204"/>
        <w:jc w:val="center"/>
      </w:trPr>
      <w:tc>
        <w:tcPr>
          <w:tcW w:w="1617" w:type="dxa"/>
          <w:tcBorders>
            <w:top w:val="single" w:sz="12" w:space="0" w:color="auto"/>
          </w:tcBorders>
        </w:tcPr>
        <w:p w14:paraId="2E0E677D" w14:textId="77777777" w:rsidR="0097693B" w:rsidRDefault="0097693B" w:rsidP="00762576">
          <w:pPr>
            <w:rPr>
              <w:b/>
              <w:bCs/>
            </w:rPr>
          </w:pPr>
        </w:p>
      </w:tc>
      <w:tc>
        <w:tcPr>
          <w:tcW w:w="4394" w:type="dxa"/>
          <w:tcBorders>
            <w:top w:val="single" w:sz="12" w:space="0" w:color="auto"/>
          </w:tcBorders>
        </w:tcPr>
        <w:p w14:paraId="2E0E677E" w14:textId="77777777" w:rsidR="0097693B" w:rsidRDefault="0097693B" w:rsidP="00762576">
          <w:pPr>
            <w:rPr>
              <w:rFonts w:eastAsia="Batang"/>
            </w:rPr>
          </w:pPr>
        </w:p>
      </w:tc>
      <w:tc>
        <w:tcPr>
          <w:tcW w:w="3912" w:type="dxa"/>
          <w:tcBorders>
            <w:top w:val="single" w:sz="12" w:space="0" w:color="auto"/>
          </w:tcBorders>
        </w:tcPr>
        <w:p w14:paraId="2E0E677F" w14:textId="77777777" w:rsidR="0097693B" w:rsidRDefault="0097693B" w:rsidP="00762576">
          <w:pPr>
            <w:rPr>
              <w:lang w:eastAsia="ja-JP"/>
            </w:rPr>
          </w:pPr>
        </w:p>
      </w:tc>
    </w:tr>
  </w:tbl>
  <w:p w14:paraId="2E0E6781" w14:textId="77777777"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4EA43" w14:textId="77777777" w:rsidR="007C1C15" w:rsidRDefault="007C1C15">
      <w:r>
        <w:separator/>
      </w:r>
    </w:p>
  </w:footnote>
  <w:footnote w:type="continuationSeparator" w:id="0">
    <w:p w14:paraId="093F688B" w14:textId="77777777" w:rsidR="007C1C15" w:rsidRDefault="007C1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42056BD0" w:rsidR="0097693B" w:rsidRDefault="0097693B" w:rsidP="00C15633">
    <w:pPr>
      <w:pStyle w:val="Header"/>
      <w:tabs>
        <w:tab w:val="center" w:pos="4763"/>
        <w:tab w:val="left" w:pos="5820"/>
      </w:tabs>
      <w:rPr>
        <w:lang w:eastAsia="ko-KR"/>
      </w:rPr>
    </w:pPr>
    <w:r>
      <w:rPr>
        <w:lang w:eastAsia="ko-KR"/>
      </w:rPr>
      <w:tab/>
    </w:r>
  </w:p>
  <w:p w14:paraId="2E0E6779"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7515080"/>
    <w:multiLevelType w:val="hybridMultilevel"/>
    <w:tmpl w:val="F5FED9E4"/>
    <w:lvl w:ilvl="0" w:tplc="7096A262">
      <w:start w:val="2"/>
      <w:numFmt w:val="bullet"/>
      <w:lvlText w:val="-"/>
      <w:lvlJc w:val="left"/>
      <w:pPr>
        <w:ind w:left="360" w:hanging="360"/>
      </w:pPr>
      <w:rPr>
        <w:rFonts w:ascii="Times New Roman" w:eastAsia="BatangChe"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BE1A4D"/>
    <w:multiLevelType w:val="hybridMultilevel"/>
    <w:tmpl w:val="8DB00EA8"/>
    <w:lvl w:ilvl="0" w:tplc="A114EBFA">
      <w:start w:val="1"/>
      <w:numFmt w:val="bullet"/>
      <w:lvlText w:val="-"/>
      <w:lvlJc w:val="left"/>
      <w:pPr>
        <w:ind w:left="280" w:hanging="360"/>
      </w:pPr>
      <w:rPr>
        <w:rFonts w:ascii="Malgun Gothic" w:eastAsia="Malgun Gothic" w:hAnsi="Malgun Gothic" w:cstheme="minorBidi" w:hint="eastAsia"/>
      </w:rPr>
    </w:lvl>
    <w:lvl w:ilvl="1" w:tplc="04090003" w:tentative="1">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3"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6E0345C"/>
    <w:multiLevelType w:val="hybridMultilevel"/>
    <w:tmpl w:val="90B26B6C"/>
    <w:lvl w:ilvl="0" w:tplc="13D65210">
      <w:start w:val="7"/>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0"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9"/>
  </w:num>
  <w:num w:numId="2">
    <w:abstractNumId w:val="5"/>
  </w:num>
  <w:num w:numId="3">
    <w:abstractNumId w:val="4"/>
  </w:num>
  <w:num w:numId="4">
    <w:abstractNumId w:val="16"/>
  </w:num>
  <w:num w:numId="5">
    <w:abstractNumId w:val="8"/>
  </w:num>
  <w:num w:numId="6">
    <w:abstractNumId w:val="10"/>
  </w:num>
  <w:num w:numId="7">
    <w:abstractNumId w:val="2"/>
  </w:num>
  <w:num w:numId="8">
    <w:abstractNumId w:val="1"/>
  </w:num>
  <w:num w:numId="9">
    <w:abstractNumId w:val="19"/>
  </w:num>
  <w:num w:numId="10">
    <w:abstractNumId w:val="15"/>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0"/>
  </w:num>
  <w:num w:numId="17">
    <w:abstractNumId w:val="14"/>
  </w:num>
  <w:num w:numId="18">
    <w:abstractNumId w:val="12"/>
  </w:num>
  <w:num w:numId="19">
    <w:abstractNumId w:val="17"/>
  </w:num>
  <w:num w:numId="20">
    <w:abstractNumId w:val="7"/>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3595B"/>
    <w:rsid w:val="00036517"/>
    <w:rsid w:val="0003673C"/>
    <w:rsid w:val="00036CC9"/>
    <w:rsid w:val="0003705A"/>
    <w:rsid w:val="00070642"/>
    <w:rsid w:val="000713CF"/>
    <w:rsid w:val="00075C14"/>
    <w:rsid w:val="000822B5"/>
    <w:rsid w:val="00094B87"/>
    <w:rsid w:val="000A012B"/>
    <w:rsid w:val="000A5418"/>
    <w:rsid w:val="000F0113"/>
    <w:rsid w:val="000F345F"/>
    <w:rsid w:val="000F517C"/>
    <w:rsid w:val="000F5540"/>
    <w:rsid w:val="00105F1A"/>
    <w:rsid w:val="00111943"/>
    <w:rsid w:val="001409B2"/>
    <w:rsid w:val="00152636"/>
    <w:rsid w:val="001539DD"/>
    <w:rsid w:val="00156782"/>
    <w:rsid w:val="001731F4"/>
    <w:rsid w:val="001933D4"/>
    <w:rsid w:val="00196568"/>
    <w:rsid w:val="00197C18"/>
    <w:rsid w:val="001A2F16"/>
    <w:rsid w:val="001B1804"/>
    <w:rsid w:val="001B18C2"/>
    <w:rsid w:val="001C61A5"/>
    <w:rsid w:val="001C6707"/>
    <w:rsid w:val="001D5D7E"/>
    <w:rsid w:val="001E1C6D"/>
    <w:rsid w:val="001F5947"/>
    <w:rsid w:val="00202410"/>
    <w:rsid w:val="00214A0C"/>
    <w:rsid w:val="0021588B"/>
    <w:rsid w:val="002216AC"/>
    <w:rsid w:val="002506D2"/>
    <w:rsid w:val="00250DE2"/>
    <w:rsid w:val="00254A1B"/>
    <w:rsid w:val="0026064A"/>
    <w:rsid w:val="0028454D"/>
    <w:rsid w:val="002855DF"/>
    <w:rsid w:val="00291C9E"/>
    <w:rsid w:val="002926D4"/>
    <w:rsid w:val="002B06A3"/>
    <w:rsid w:val="002B435C"/>
    <w:rsid w:val="002B447F"/>
    <w:rsid w:val="002C07DA"/>
    <w:rsid w:val="002C7EA9"/>
    <w:rsid w:val="002F575D"/>
    <w:rsid w:val="00300897"/>
    <w:rsid w:val="003113D7"/>
    <w:rsid w:val="00311E8A"/>
    <w:rsid w:val="00342F20"/>
    <w:rsid w:val="00353E0A"/>
    <w:rsid w:val="00360377"/>
    <w:rsid w:val="00366548"/>
    <w:rsid w:val="003809C7"/>
    <w:rsid w:val="0038236C"/>
    <w:rsid w:val="00395B40"/>
    <w:rsid w:val="003A6568"/>
    <w:rsid w:val="003B6263"/>
    <w:rsid w:val="003C29E6"/>
    <w:rsid w:val="003C2B6F"/>
    <w:rsid w:val="003C64A7"/>
    <w:rsid w:val="003D1671"/>
    <w:rsid w:val="003D3FDA"/>
    <w:rsid w:val="003D6D00"/>
    <w:rsid w:val="003E166F"/>
    <w:rsid w:val="003F549C"/>
    <w:rsid w:val="004001E5"/>
    <w:rsid w:val="00420822"/>
    <w:rsid w:val="00420C74"/>
    <w:rsid w:val="004465AA"/>
    <w:rsid w:val="0045458F"/>
    <w:rsid w:val="0046170C"/>
    <w:rsid w:val="004633B4"/>
    <w:rsid w:val="004A2F96"/>
    <w:rsid w:val="004B05F6"/>
    <w:rsid w:val="004B3553"/>
    <w:rsid w:val="004B3F4B"/>
    <w:rsid w:val="004D4F84"/>
    <w:rsid w:val="00503189"/>
    <w:rsid w:val="00504B0F"/>
    <w:rsid w:val="00526D01"/>
    <w:rsid w:val="00530E8C"/>
    <w:rsid w:val="00545933"/>
    <w:rsid w:val="00552105"/>
    <w:rsid w:val="005562F2"/>
    <w:rsid w:val="00557544"/>
    <w:rsid w:val="0055765B"/>
    <w:rsid w:val="00565BBB"/>
    <w:rsid w:val="00585F3C"/>
    <w:rsid w:val="00586CA0"/>
    <w:rsid w:val="00587875"/>
    <w:rsid w:val="00587DAA"/>
    <w:rsid w:val="005A4F82"/>
    <w:rsid w:val="005A63EB"/>
    <w:rsid w:val="005B395A"/>
    <w:rsid w:val="005C08F0"/>
    <w:rsid w:val="005C33B6"/>
    <w:rsid w:val="005C58C1"/>
    <w:rsid w:val="005D6202"/>
    <w:rsid w:val="005D6E98"/>
    <w:rsid w:val="005D7A05"/>
    <w:rsid w:val="00607E2B"/>
    <w:rsid w:val="006139D6"/>
    <w:rsid w:val="00616D1B"/>
    <w:rsid w:val="00623CE1"/>
    <w:rsid w:val="0063062B"/>
    <w:rsid w:val="00637351"/>
    <w:rsid w:val="00646166"/>
    <w:rsid w:val="00654896"/>
    <w:rsid w:val="006621F0"/>
    <w:rsid w:val="006647BA"/>
    <w:rsid w:val="00667229"/>
    <w:rsid w:val="00682BE5"/>
    <w:rsid w:val="00690FED"/>
    <w:rsid w:val="006939A5"/>
    <w:rsid w:val="006D5223"/>
    <w:rsid w:val="006E12FC"/>
    <w:rsid w:val="006F2B2E"/>
    <w:rsid w:val="00705962"/>
    <w:rsid w:val="00707C21"/>
    <w:rsid w:val="00712451"/>
    <w:rsid w:val="00717DE9"/>
    <w:rsid w:val="0072518B"/>
    <w:rsid w:val="00731041"/>
    <w:rsid w:val="007329E4"/>
    <w:rsid w:val="00732F08"/>
    <w:rsid w:val="007342F0"/>
    <w:rsid w:val="0074190C"/>
    <w:rsid w:val="00745815"/>
    <w:rsid w:val="00762576"/>
    <w:rsid w:val="007649F8"/>
    <w:rsid w:val="007673CA"/>
    <w:rsid w:val="00791060"/>
    <w:rsid w:val="00792D69"/>
    <w:rsid w:val="00797A9C"/>
    <w:rsid w:val="007B5626"/>
    <w:rsid w:val="007B6124"/>
    <w:rsid w:val="007C1C15"/>
    <w:rsid w:val="007D3C53"/>
    <w:rsid w:val="007F2628"/>
    <w:rsid w:val="007F2FBA"/>
    <w:rsid w:val="00800C3A"/>
    <w:rsid w:val="0080570B"/>
    <w:rsid w:val="008148E1"/>
    <w:rsid w:val="008218C8"/>
    <w:rsid w:val="008319BF"/>
    <w:rsid w:val="008433C2"/>
    <w:rsid w:val="00844457"/>
    <w:rsid w:val="008454C8"/>
    <w:rsid w:val="00851D78"/>
    <w:rsid w:val="00876D87"/>
    <w:rsid w:val="008A1A0D"/>
    <w:rsid w:val="008A76ED"/>
    <w:rsid w:val="008B3C72"/>
    <w:rsid w:val="008D0E09"/>
    <w:rsid w:val="00903007"/>
    <w:rsid w:val="00923816"/>
    <w:rsid w:val="00925CE6"/>
    <w:rsid w:val="0093074B"/>
    <w:rsid w:val="00930E64"/>
    <w:rsid w:val="00955E3A"/>
    <w:rsid w:val="00956F8C"/>
    <w:rsid w:val="00961D57"/>
    <w:rsid w:val="00963CE0"/>
    <w:rsid w:val="00976716"/>
    <w:rsid w:val="0097693B"/>
    <w:rsid w:val="0098026D"/>
    <w:rsid w:val="00992679"/>
    <w:rsid w:val="00993355"/>
    <w:rsid w:val="009963F7"/>
    <w:rsid w:val="009A4A6D"/>
    <w:rsid w:val="009B24E9"/>
    <w:rsid w:val="009B7E42"/>
    <w:rsid w:val="009E13DD"/>
    <w:rsid w:val="009F0661"/>
    <w:rsid w:val="00A0503B"/>
    <w:rsid w:val="00A13265"/>
    <w:rsid w:val="00A14900"/>
    <w:rsid w:val="00A2159F"/>
    <w:rsid w:val="00A27F89"/>
    <w:rsid w:val="00A529BC"/>
    <w:rsid w:val="00A5346C"/>
    <w:rsid w:val="00A562F0"/>
    <w:rsid w:val="00A564FB"/>
    <w:rsid w:val="00A614C1"/>
    <w:rsid w:val="00A61EA6"/>
    <w:rsid w:val="00A71136"/>
    <w:rsid w:val="00AA474C"/>
    <w:rsid w:val="00AC35EF"/>
    <w:rsid w:val="00AD2697"/>
    <w:rsid w:val="00AD7E5F"/>
    <w:rsid w:val="00AD7F1F"/>
    <w:rsid w:val="00AE3066"/>
    <w:rsid w:val="00AF68E4"/>
    <w:rsid w:val="00B01AA1"/>
    <w:rsid w:val="00B30C81"/>
    <w:rsid w:val="00B4793B"/>
    <w:rsid w:val="00B57E58"/>
    <w:rsid w:val="00B62B73"/>
    <w:rsid w:val="00B64A60"/>
    <w:rsid w:val="00B937D7"/>
    <w:rsid w:val="00B96B67"/>
    <w:rsid w:val="00B97869"/>
    <w:rsid w:val="00BA5FC1"/>
    <w:rsid w:val="00BA7893"/>
    <w:rsid w:val="00BC57EF"/>
    <w:rsid w:val="00BE7F7F"/>
    <w:rsid w:val="00BF13B7"/>
    <w:rsid w:val="00BF25F9"/>
    <w:rsid w:val="00C0794D"/>
    <w:rsid w:val="00C13FD5"/>
    <w:rsid w:val="00C15633"/>
    <w:rsid w:val="00C15799"/>
    <w:rsid w:val="00C23277"/>
    <w:rsid w:val="00C32E84"/>
    <w:rsid w:val="00C35415"/>
    <w:rsid w:val="00C357AD"/>
    <w:rsid w:val="00C554CC"/>
    <w:rsid w:val="00C57886"/>
    <w:rsid w:val="00C6069C"/>
    <w:rsid w:val="00C66E02"/>
    <w:rsid w:val="00C74745"/>
    <w:rsid w:val="00C85119"/>
    <w:rsid w:val="00C95102"/>
    <w:rsid w:val="00CC4D71"/>
    <w:rsid w:val="00CD320B"/>
    <w:rsid w:val="00CD3F37"/>
    <w:rsid w:val="00CD5431"/>
    <w:rsid w:val="00CE4B93"/>
    <w:rsid w:val="00CF2491"/>
    <w:rsid w:val="00CF3963"/>
    <w:rsid w:val="00D01563"/>
    <w:rsid w:val="00D056A7"/>
    <w:rsid w:val="00D10893"/>
    <w:rsid w:val="00D1252E"/>
    <w:rsid w:val="00D13D9D"/>
    <w:rsid w:val="00D459A2"/>
    <w:rsid w:val="00D530FF"/>
    <w:rsid w:val="00D53688"/>
    <w:rsid w:val="00D5407A"/>
    <w:rsid w:val="00D57772"/>
    <w:rsid w:val="00D72AE3"/>
    <w:rsid w:val="00D75A4D"/>
    <w:rsid w:val="00D8478B"/>
    <w:rsid w:val="00D86151"/>
    <w:rsid w:val="00D9172D"/>
    <w:rsid w:val="00DA7595"/>
    <w:rsid w:val="00DB0A68"/>
    <w:rsid w:val="00DB3F5B"/>
    <w:rsid w:val="00DC43A3"/>
    <w:rsid w:val="00DC4CF3"/>
    <w:rsid w:val="00DC5C01"/>
    <w:rsid w:val="00DD3769"/>
    <w:rsid w:val="00DD7C09"/>
    <w:rsid w:val="00DE6E8B"/>
    <w:rsid w:val="00E0124F"/>
    <w:rsid w:val="00E5125B"/>
    <w:rsid w:val="00E674D3"/>
    <w:rsid w:val="00E70FD0"/>
    <w:rsid w:val="00E77C4B"/>
    <w:rsid w:val="00E906C5"/>
    <w:rsid w:val="00E9301F"/>
    <w:rsid w:val="00E9690A"/>
    <w:rsid w:val="00E97DC7"/>
    <w:rsid w:val="00F000EF"/>
    <w:rsid w:val="00F2504E"/>
    <w:rsid w:val="00F2585B"/>
    <w:rsid w:val="00F4053F"/>
    <w:rsid w:val="00F516E7"/>
    <w:rsid w:val="00F57BF7"/>
    <w:rsid w:val="00F6263E"/>
    <w:rsid w:val="00F627C2"/>
    <w:rsid w:val="00F84067"/>
    <w:rsid w:val="00FA50B4"/>
    <w:rsid w:val="00FB5173"/>
    <w:rsid w:val="00FC156A"/>
    <w:rsid w:val="00FD6235"/>
    <w:rsid w:val="00FE3DE5"/>
    <w:rsid w:val="00FF1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0E672F"/>
  <w15:docId w15:val="{EA9D6779-8880-4E35-A482-A13B9425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character" w:customStyle="1" w:styleId="ECCHLbold">
    <w:name w:val="ECC HL bold"/>
    <w:basedOn w:val="DefaultParagraphFont"/>
    <w:uiPriority w:val="1"/>
    <w:qFormat/>
    <w:rsid w:val="00FF1969"/>
    <w:rPr>
      <w:b/>
      <w:bCs/>
    </w:rPr>
  </w:style>
  <w:style w:type="character" w:customStyle="1" w:styleId="ECCParagraph">
    <w:name w:val="ECC Paragraph"/>
    <w:basedOn w:val="DefaultParagraphFont"/>
    <w:uiPriority w:val="1"/>
    <w:qFormat/>
    <w:rsid w:val="00FF1969"/>
    <w:rPr>
      <w:rFonts w:ascii="Arial" w:hAnsi="Arial" w:cs="Arial" w:hint="default"/>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28077">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A0626-32FD-4B81-8399-031610B1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1896</Words>
  <Characters>10810</Characters>
  <Application>Microsoft Office Word</Application>
  <DocSecurity>0</DocSecurity>
  <Lines>90</Lines>
  <Paragraphs>25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12681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7</cp:revision>
  <cp:lastPrinted>2015-02-02T07:28:00Z</cp:lastPrinted>
  <dcterms:created xsi:type="dcterms:W3CDTF">2017-07-20T15:35:00Z</dcterms:created>
  <dcterms:modified xsi:type="dcterms:W3CDTF">2017-07-24T02:34:00Z</dcterms:modified>
</cp:coreProperties>
</file>