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rsidTr="00666F5F">
        <w:trPr>
          <w:cantSplit/>
        </w:trPr>
        <w:tc>
          <w:tcPr>
            <w:tcW w:w="1399" w:type="dxa"/>
            <w:vMerge w:val="restart"/>
          </w:tcPr>
          <w:p w:rsidR="00CF3963" w:rsidRPr="00891D0B" w:rsidRDefault="00CF3963" w:rsidP="00666F5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CF3963" w:rsidRPr="00891D0B" w:rsidRDefault="00CF3963" w:rsidP="00666F5F">
            <w:r w:rsidRPr="00096326">
              <w:t>ASIA-PACIFIC TELECOMMUNITY</w:t>
            </w:r>
          </w:p>
        </w:tc>
        <w:tc>
          <w:tcPr>
            <w:tcW w:w="2700" w:type="dxa"/>
          </w:tcPr>
          <w:p w:rsidR="00CF3963" w:rsidRPr="00096326" w:rsidRDefault="00CF3963" w:rsidP="00666F5F">
            <w:pPr>
              <w:rPr>
                <w:b/>
                <w:bCs/>
                <w:lang w:val="fr-FR"/>
              </w:rPr>
            </w:pPr>
            <w:r w:rsidRPr="00C15799">
              <w:rPr>
                <w:b/>
                <w:lang w:val="fr-FR"/>
              </w:rPr>
              <w:t>Document</w:t>
            </w:r>
            <w:r>
              <w:rPr>
                <w:b/>
                <w:lang w:val="fr-FR"/>
              </w:rPr>
              <w:t xml:space="preserve">: </w:t>
            </w:r>
          </w:p>
        </w:tc>
      </w:tr>
      <w:tr w:rsidR="00CF3963" w:rsidRPr="00C15799" w:rsidTr="00666F5F">
        <w:trPr>
          <w:cantSplit/>
        </w:trPr>
        <w:tc>
          <w:tcPr>
            <w:tcW w:w="1399" w:type="dxa"/>
            <w:vMerge/>
          </w:tcPr>
          <w:p w:rsidR="00CF3963" w:rsidRPr="00891D0B" w:rsidRDefault="00CF3963" w:rsidP="00666F5F"/>
        </w:tc>
        <w:tc>
          <w:tcPr>
            <w:tcW w:w="5720" w:type="dxa"/>
          </w:tcPr>
          <w:p w:rsidR="00CF3963" w:rsidRPr="00891D0B" w:rsidRDefault="00CF3963" w:rsidP="00666F5F">
            <w:pPr>
              <w:spacing w:line="0" w:lineRule="atLeast"/>
            </w:pPr>
            <w:r>
              <w:rPr>
                <w:b/>
              </w:rPr>
              <w:t>The 2nd Meeting of the APT Conference Preparatory  Group for WRC-19 (APG19-2)</w:t>
            </w:r>
          </w:p>
        </w:tc>
        <w:tc>
          <w:tcPr>
            <w:tcW w:w="2700" w:type="dxa"/>
          </w:tcPr>
          <w:p w:rsidR="00CF3963" w:rsidRPr="0039038F" w:rsidRDefault="00CF3963" w:rsidP="00182411">
            <w:pPr>
              <w:rPr>
                <w:rFonts w:eastAsiaTheme="minorEastAsia"/>
                <w:b/>
                <w:bCs/>
                <w:lang w:val="fr-FR" w:eastAsia="zh-CN"/>
              </w:rPr>
            </w:pPr>
            <w:bookmarkStart w:id="0" w:name="OLE_LINK5"/>
            <w:bookmarkStart w:id="1" w:name="OLE_LINK6"/>
            <w:r w:rsidRPr="0039038F">
              <w:rPr>
                <w:b/>
                <w:bCs/>
                <w:lang w:val="fr-FR"/>
              </w:rPr>
              <w:t>APG19-2/</w:t>
            </w:r>
            <w:r w:rsidR="00182411">
              <w:rPr>
                <w:b/>
                <w:bCs/>
                <w:lang w:val="fr-FR"/>
              </w:rPr>
              <w:t>OUT</w:t>
            </w:r>
            <w:r w:rsidR="00311E8A" w:rsidRPr="0039038F">
              <w:rPr>
                <w:b/>
                <w:bCs/>
                <w:lang w:val="fr-FR"/>
              </w:rPr>
              <w:t>-</w:t>
            </w:r>
            <w:bookmarkEnd w:id="0"/>
            <w:bookmarkEnd w:id="1"/>
            <w:r w:rsidR="006B49DF">
              <w:rPr>
                <w:b/>
                <w:bCs/>
                <w:lang w:val="fr-FR"/>
              </w:rPr>
              <w:t>13</w:t>
            </w:r>
          </w:p>
        </w:tc>
      </w:tr>
      <w:tr w:rsidR="00CF3963" w:rsidRPr="00891D0B" w:rsidTr="00666F5F">
        <w:trPr>
          <w:cantSplit/>
          <w:trHeight w:val="219"/>
        </w:trPr>
        <w:tc>
          <w:tcPr>
            <w:tcW w:w="1399" w:type="dxa"/>
            <w:vMerge/>
          </w:tcPr>
          <w:p w:rsidR="00CF3963" w:rsidRPr="00C15799" w:rsidRDefault="00CF3963" w:rsidP="00666F5F">
            <w:pPr>
              <w:rPr>
                <w:lang w:val="fr-FR"/>
              </w:rPr>
            </w:pPr>
          </w:p>
        </w:tc>
        <w:tc>
          <w:tcPr>
            <w:tcW w:w="5720" w:type="dxa"/>
          </w:tcPr>
          <w:p w:rsidR="00CF3963" w:rsidRPr="00891D0B" w:rsidRDefault="00CF3963" w:rsidP="00666F5F">
            <w:r>
              <w:t>17 – 21 July 2017</w:t>
            </w:r>
            <w:r w:rsidRPr="00891D0B">
              <w:t xml:space="preserve">, </w:t>
            </w:r>
            <w:r>
              <w:t>Bali, Republic of Indonesia</w:t>
            </w:r>
          </w:p>
        </w:tc>
        <w:tc>
          <w:tcPr>
            <w:tcW w:w="2700" w:type="dxa"/>
          </w:tcPr>
          <w:p w:rsidR="00CF3963" w:rsidRPr="0039038F" w:rsidRDefault="00F122BA" w:rsidP="00182411">
            <w:pPr>
              <w:rPr>
                <w:b/>
              </w:rPr>
            </w:pPr>
            <w:r>
              <w:rPr>
                <w:b/>
              </w:rPr>
              <w:t>2</w:t>
            </w:r>
            <w:r w:rsidR="00182411">
              <w:rPr>
                <w:b/>
              </w:rPr>
              <w:t>1</w:t>
            </w:r>
            <w:r w:rsidR="00CF3963" w:rsidRPr="0039038F">
              <w:rPr>
                <w:b/>
              </w:rPr>
              <w:t xml:space="preserve"> July 2017</w:t>
            </w:r>
          </w:p>
        </w:tc>
      </w:tr>
    </w:tbl>
    <w:p w:rsidR="00D13D9D" w:rsidRPr="007673CA" w:rsidRDefault="00D13D9D" w:rsidP="00DA7595">
      <w:pPr>
        <w:rPr>
          <w:lang w:val="en-NZ" w:eastAsia="ko-KR"/>
        </w:rPr>
      </w:pPr>
    </w:p>
    <w:p w:rsidR="00930E64" w:rsidRPr="007673CA" w:rsidRDefault="00930E64" w:rsidP="00930E64">
      <w:pPr>
        <w:jc w:val="center"/>
        <w:rPr>
          <w:lang w:val="en-NZ"/>
        </w:rPr>
      </w:pPr>
    </w:p>
    <w:p w:rsidR="00182411" w:rsidRPr="006B49DF" w:rsidRDefault="006B49DF" w:rsidP="002D5D0E">
      <w:pPr>
        <w:spacing w:after="120"/>
        <w:jc w:val="center"/>
        <w:rPr>
          <w:rFonts w:eastAsiaTheme="minorEastAsia"/>
          <w:bCs/>
          <w:caps/>
          <w:lang w:val="en-NZ" w:eastAsia="zh-CN"/>
        </w:rPr>
      </w:pPr>
      <w:r w:rsidRPr="006B49DF">
        <w:rPr>
          <w:bCs/>
          <w:lang w:val="en-NZ"/>
        </w:rPr>
        <w:t>Working Party 6</w:t>
      </w:r>
    </w:p>
    <w:p w:rsidR="00B64A60" w:rsidRDefault="00B64A60" w:rsidP="002D5D0E">
      <w:pPr>
        <w:spacing w:after="120"/>
        <w:jc w:val="center"/>
        <w:rPr>
          <w:rFonts w:eastAsiaTheme="minorEastAsia"/>
          <w:b/>
          <w:bCs/>
          <w:caps/>
          <w:lang w:val="en-NZ" w:eastAsia="zh-CN"/>
        </w:rPr>
      </w:pPr>
      <w:r w:rsidRPr="00311E8A">
        <w:rPr>
          <w:b/>
          <w:bCs/>
          <w:caps/>
          <w:lang w:val="en-NZ"/>
        </w:rPr>
        <w:t>PRELIMINARY VIEWs on WRC</w:t>
      </w:r>
      <w:r w:rsidR="00C810E3">
        <w:rPr>
          <w:rFonts w:eastAsiaTheme="minorEastAsia" w:hint="eastAsia"/>
          <w:b/>
          <w:bCs/>
          <w:caps/>
          <w:lang w:val="en-NZ" w:eastAsia="zh-CN"/>
        </w:rPr>
        <w:t>-</w:t>
      </w:r>
      <w:r w:rsidRPr="00311E8A">
        <w:rPr>
          <w:b/>
          <w:bCs/>
          <w:caps/>
          <w:lang w:val="en-NZ"/>
        </w:rPr>
        <w:t xml:space="preserve">19 agenda item </w:t>
      </w:r>
      <w:r w:rsidR="0004762A">
        <w:rPr>
          <w:b/>
          <w:bCs/>
          <w:caps/>
          <w:lang w:val="en-NZ"/>
        </w:rPr>
        <w:t xml:space="preserve">9.1 (issue </w:t>
      </w:r>
      <w:r w:rsidR="00FD1156">
        <w:rPr>
          <w:rFonts w:eastAsiaTheme="minorEastAsia" w:hint="eastAsia"/>
          <w:b/>
          <w:bCs/>
          <w:caps/>
          <w:lang w:val="en-NZ" w:eastAsia="zh-CN"/>
        </w:rPr>
        <w:t>9</w:t>
      </w:r>
      <w:r w:rsidRPr="00311E8A">
        <w:rPr>
          <w:b/>
          <w:bCs/>
          <w:caps/>
          <w:lang w:val="en-NZ"/>
        </w:rPr>
        <w:t>.</w:t>
      </w:r>
      <w:r w:rsidR="00FD1156">
        <w:rPr>
          <w:rFonts w:eastAsiaTheme="minorEastAsia" w:hint="eastAsia"/>
          <w:b/>
          <w:bCs/>
          <w:caps/>
          <w:lang w:val="en-NZ" w:eastAsia="zh-CN"/>
        </w:rPr>
        <w:t>1</w:t>
      </w:r>
      <w:r w:rsidR="00861FAE">
        <w:rPr>
          <w:rFonts w:eastAsiaTheme="minorEastAsia" w:hint="eastAsia"/>
          <w:b/>
          <w:bCs/>
          <w:caps/>
          <w:lang w:val="en-NZ" w:eastAsia="zh-CN"/>
        </w:rPr>
        <w:t>.</w:t>
      </w:r>
      <w:r w:rsidR="00FD1156">
        <w:rPr>
          <w:rFonts w:eastAsiaTheme="minorEastAsia" w:hint="eastAsia"/>
          <w:b/>
          <w:bCs/>
          <w:caps/>
          <w:lang w:val="en-NZ" w:eastAsia="zh-CN"/>
        </w:rPr>
        <w:t>7</w:t>
      </w:r>
      <w:r w:rsidR="0004762A">
        <w:rPr>
          <w:rFonts w:eastAsiaTheme="minorEastAsia"/>
          <w:b/>
          <w:bCs/>
          <w:caps/>
          <w:lang w:val="en-NZ" w:eastAsia="zh-CN"/>
        </w:rPr>
        <w:t>)</w:t>
      </w:r>
    </w:p>
    <w:p w:rsidR="007570AC" w:rsidRPr="007570AC" w:rsidRDefault="007570AC" w:rsidP="00B64A60">
      <w:pPr>
        <w:jc w:val="center"/>
        <w:rPr>
          <w:rFonts w:eastAsiaTheme="minorEastAsia"/>
          <w:b/>
          <w:bCs/>
          <w:caps/>
          <w:lang w:val="en-NZ" w:eastAsia="zh-CN"/>
        </w:rPr>
      </w:pPr>
    </w:p>
    <w:p w:rsidR="00BB7C9E" w:rsidRPr="00BB7C9E" w:rsidRDefault="00BB7C9E" w:rsidP="00B64A60">
      <w:pPr>
        <w:rPr>
          <w:rFonts w:eastAsiaTheme="minorEastAsia"/>
          <w:lang w:val="en-NZ" w:eastAsia="zh-CN"/>
        </w:rPr>
      </w:pPr>
    </w:p>
    <w:p w:rsidR="00B64A60" w:rsidRPr="00710333" w:rsidRDefault="00B64A60" w:rsidP="00B64A60">
      <w:pPr>
        <w:jc w:val="both"/>
        <w:rPr>
          <w:lang w:val="en-NZ"/>
        </w:rPr>
      </w:pPr>
      <w:r w:rsidRPr="00710333">
        <w:rPr>
          <w:b/>
          <w:lang w:val="en-NZ"/>
        </w:rPr>
        <w:t xml:space="preserve">Agenda Item </w:t>
      </w:r>
      <w:r w:rsidR="00FD1156">
        <w:rPr>
          <w:rFonts w:eastAsiaTheme="minorEastAsia" w:hint="eastAsia"/>
          <w:b/>
          <w:lang w:val="en-NZ" w:eastAsia="zh-CN"/>
        </w:rPr>
        <w:t>9.1</w:t>
      </w:r>
      <w:r w:rsidR="002C6D7C">
        <w:rPr>
          <w:rFonts w:eastAsiaTheme="minorEastAsia" w:hint="eastAsia"/>
          <w:b/>
          <w:lang w:val="en-NZ" w:eastAsia="zh-CN"/>
        </w:rPr>
        <w:t>.7</w:t>
      </w:r>
      <w:r w:rsidRPr="00710333">
        <w:rPr>
          <w:b/>
          <w:lang w:val="en-NZ"/>
        </w:rPr>
        <w:t xml:space="preserve">: </w:t>
      </w:r>
    </w:p>
    <w:p w:rsidR="00316A36" w:rsidRPr="00B219E0" w:rsidRDefault="009A77F4" w:rsidP="00316A36">
      <w:pPr>
        <w:rPr>
          <w:rFonts w:asciiTheme="majorBidi" w:hAnsiTheme="majorBidi" w:cstheme="majorBidi"/>
          <w:i/>
          <w:iCs/>
        </w:rPr>
      </w:pPr>
      <w:r w:rsidRPr="00B219E0">
        <w:rPr>
          <w:rFonts w:asciiTheme="majorBidi" w:hAnsiTheme="majorBidi" w:cstheme="majorBidi"/>
          <w:i/>
          <w:iCs/>
        </w:rPr>
        <w:t xml:space="preserve">Issue 2) in the Annex to Resolution </w:t>
      </w:r>
      <w:hyperlink r:id="rId9" w:history="1">
        <w:r w:rsidRPr="00B219E0">
          <w:rPr>
            <w:rFonts w:asciiTheme="majorBidi" w:hAnsiTheme="majorBidi" w:cstheme="majorBidi"/>
            <w:iCs/>
          </w:rPr>
          <w:t>958 (WRC-15)</w:t>
        </w:r>
      </w:hyperlink>
    </w:p>
    <w:p w:rsidR="009A77F4" w:rsidRPr="00B219E0" w:rsidRDefault="00316A36" w:rsidP="00316A36">
      <w:pPr>
        <w:rPr>
          <w:rFonts w:asciiTheme="majorBidi" w:hAnsiTheme="majorBidi" w:cstheme="majorBidi"/>
          <w:i/>
          <w:iCs/>
        </w:rPr>
      </w:pPr>
      <w:r w:rsidRPr="00B219E0">
        <w:rPr>
          <w:rFonts w:asciiTheme="majorBidi" w:hAnsiTheme="majorBidi" w:cstheme="majorBidi"/>
          <w:i/>
          <w:iCs/>
        </w:rPr>
        <w:t>2)</w:t>
      </w:r>
      <w:r w:rsidRPr="00B219E0">
        <w:rPr>
          <w:rFonts w:asciiTheme="majorBidi" w:hAnsiTheme="majorBidi" w:cstheme="majorBidi"/>
          <w:i/>
          <w:iCs/>
        </w:rPr>
        <w:tab/>
      </w:r>
      <w:r w:rsidR="009A77F4" w:rsidRPr="00B219E0">
        <w:rPr>
          <w:rFonts w:asciiTheme="majorBidi" w:hAnsiTheme="majorBidi" w:cstheme="majorBidi"/>
          <w:i/>
          <w:iCs/>
        </w:rPr>
        <w:t xml:space="preserve">Studies to examine: </w:t>
      </w:r>
    </w:p>
    <w:p w:rsidR="00FD1156" w:rsidRPr="00B219E0" w:rsidRDefault="00FD1156" w:rsidP="009750F9">
      <w:pPr>
        <w:jc w:val="both"/>
        <w:rPr>
          <w:rFonts w:asciiTheme="majorBidi" w:hAnsiTheme="majorBidi" w:cstheme="majorBidi"/>
          <w:i/>
          <w:iCs/>
        </w:rPr>
      </w:pPr>
      <w:r w:rsidRPr="00B219E0">
        <w:rPr>
          <w:rFonts w:asciiTheme="majorBidi" w:hAnsiTheme="majorBidi" w:cstheme="majorBidi"/>
          <w:i/>
          <w:iCs/>
        </w:rPr>
        <w:t>a)</w:t>
      </w:r>
      <w:r w:rsidRPr="00B219E0">
        <w:rPr>
          <w:rFonts w:asciiTheme="majorBidi" w:hAnsiTheme="majorBidi" w:cstheme="majorBidi"/>
          <w:i/>
          <w:iCs/>
        </w:rPr>
        <w:tab/>
      </w:r>
      <w:proofErr w:type="gramStart"/>
      <w:r w:rsidRPr="00B219E0">
        <w:rPr>
          <w:rFonts w:asciiTheme="majorBidi" w:hAnsiTheme="majorBidi" w:cstheme="majorBidi"/>
          <w:i/>
          <w:iCs/>
        </w:rPr>
        <w:t>whether</w:t>
      </w:r>
      <w:proofErr w:type="gramEnd"/>
      <w:r w:rsidRPr="00B219E0">
        <w:rPr>
          <w:rFonts w:asciiTheme="majorBidi" w:hAnsiTheme="majorBidi" w:cstheme="majorBidi"/>
          <w:i/>
          <w:iCs/>
        </w:rPr>
        <w:t xml:space="preserve"> there is a need for possible additional measures in order to limit uplink transmissions of terminals to those authorized terminals in accordance with No. </w:t>
      </w:r>
      <w:r w:rsidRPr="00B219E0">
        <w:rPr>
          <w:rFonts w:asciiTheme="majorBidi" w:hAnsiTheme="majorBidi" w:cstheme="majorBidi"/>
          <w:b/>
          <w:bCs/>
          <w:i/>
          <w:iCs/>
        </w:rPr>
        <w:t>18.1</w:t>
      </w:r>
      <w:r w:rsidRPr="00B219E0">
        <w:rPr>
          <w:rFonts w:asciiTheme="majorBidi" w:hAnsiTheme="majorBidi" w:cstheme="majorBidi"/>
          <w:i/>
          <w:iCs/>
        </w:rPr>
        <w:t>;</w:t>
      </w:r>
    </w:p>
    <w:p w:rsidR="00B64A60" w:rsidRDefault="00FD1156" w:rsidP="009750F9">
      <w:pPr>
        <w:jc w:val="both"/>
        <w:rPr>
          <w:rFonts w:asciiTheme="majorBidi" w:eastAsiaTheme="minorEastAsia" w:hAnsiTheme="majorBidi" w:cstheme="majorBidi"/>
          <w:i/>
          <w:iCs/>
          <w:lang w:eastAsia="zh-CN"/>
        </w:rPr>
      </w:pPr>
      <w:r w:rsidRPr="00B219E0">
        <w:rPr>
          <w:rFonts w:asciiTheme="majorBidi" w:hAnsiTheme="majorBidi" w:cstheme="majorBidi"/>
          <w:i/>
          <w:iCs/>
        </w:rPr>
        <w:t>b)</w:t>
      </w:r>
      <w:r w:rsidRPr="00B219E0">
        <w:rPr>
          <w:rFonts w:asciiTheme="majorBidi" w:hAnsiTheme="majorBidi" w:cstheme="majorBidi"/>
          <w:i/>
          <w:iCs/>
        </w:rPr>
        <w:tab/>
        <w:t xml:space="preserve">the possible methods that will assist administrations in managing the unauthorized operation of earth station terminals deployed within its territory, as a tool to guide their national spectrum management </w:t>
      </w:r>
      <w:proofErr w:type="spellStart"/>
      <w:r w:rsidRPr="00B219E0">
        <w:rPr>
          <w:rFonts w:asciiTheme="majorBidi" w:hAnsiTheme="majorBidi" w:cstheme="majorBidi"/>
          <w:i/>
          <w:iCs/>
        </w:rPr>
        <w:t>programme</w:t>
      </w:r>
      <w:proofErr w:type="spellEnd"/>
      <w:r w:rsidRPr="00B219E0">
        <w:rPr>
          <w:rFonts w:asciiTheme="majorBidi" w:hAnsiTheme="majorBidi" w:cstheme="majorBidi"/>
          <w:i/>
          <w:iCs/>
        </w:rPr>
        <w:t>, in accordance with Resolution ITU-R 64 (RA-15).</w:t>
      </w:r>
    </w:p>
    <w:p w:rsidR="00FD1156" w:rsidRPr="00FD1156" w:rsidRDefault="00FD1156" w:rsidP="00FD1156">
      <w:pPr>
        <w:rPr>
          <w:rFonts w:eastAsiaTheme="minorEastAsia"/>
          <w:lang w:val="en-NZ" w:eastAsia="zh-CN"/>
        </w:rPr>
      </w:pPr>
    </w:p>
    <w:p w:rsidR="00B64A60" w:rsidRPr="00B219E0" w:rsidRDefault="00B64A60" w:rsidP="00B64A60">
      <w:pPr>
        <w:spacing w:after="120"/>
        <w:jc w:val="both"/>
        <w:rPr>
          <w:rFonts w:eastAsiaTheme="minorEastAsia"/>
          <w:b/>
          <w:lang w:val="en-NZ" w:eastAsia="zh-CN"/>
        </w:rPr>
      </w:pPr>
      <w:r w:rsidRPr="00710333">
        <w:rPr>
          <w:b/>
          <w:lang w:val="en-NZ" w:eastAsia="ko-KR"/>
        </w:rPr>
        <w:t xml:space="preserve">1. </w:t>
      </w:r>
      <w:r>
        <w:rPr>
          <w:b/>
          <w:lang w:val="en-NZ" w:eastAsia="ko-KR"/>
        </w:rPr>
        <w:tab/>
      </w:r>
      <w:r w:rsidRPr="00710333">
        <w:rPr>
          <w:b/>
          <w:lang w:val="en-NZ" w:eastAsia="ko-KR"/>
        </w:rPr>
        <w:t>Background</w:t>
      </w:r>
    </w:p>
    <w:p w:rsidR="00F44A65" w:rsidRPr="00B219E0" w:rsidRDefault="00F44A65" w:rsidP="00F3356B">
      <w:pPr>
        <w:pStyle w:val="NormalWeb"/>
        <w:spacing w:before="0" w:beforeAutospacing="0"/>
        <w:jc w:val="both"/>
      </w:pPr>
      <w:r w:rsidRPr="00B219E0">
        <w:t>While the 2015 ITU Radiocommunication Assembly (RA</w:t>
      </w:r>
      <w:r w:rsidR="004B427A" w:rsidRPr="00B219E0">
        <w:rPr>
          <w:rFonts w:eastAsiaTheme="minorEastAsia"/>
          <w:lang w:eastAsia="zh-CN"/>
        </w:rPr>
        <w:t>-</w:t>
      </w:r>
      <w:r w:rsidRPr="00B219E0">
        <w:t xml:space="preserve">15) addressed this matter through the establishment of Resolution ITU-R 64 </w:t>
      </w:r>
      <w:r w:rsidRPr="00B219E0">
        <w:rPr>
          <w:rFonts w:cs="Segoe UI"/>
          <w:i/>
          <w:color w:val="000000"/>
        </w:rPr>
        <w:t>Guidelines for the management of unauthorized operation of earth station terminals</w:t>
      </w:r>
      <w:r w:rsidRPr="00B219E0">
        <w:rPr>
          <w:rFonts w:cs="Segoe UI"/>
          <w:color w:val="000000"/>
        </w:rPr>
        <w:t>, WRC-15 subsequently included further studies under Issue</w:t>
      </w:r>
      <w:r w:rsidRPr="00B219E0">
        <w:rPr>
          <w:rFonts w:eastAsiaTheme="minorEastAsia" w:cs="Segoe UI"/>
          <w:color w:val="000000"/>
          <w:lang w:eastAsia="zh-CN"/>
        </w:rPr>
        <w:t xml:space="preserve"> </w:t>
      </w:r>
      <w:r w:rsidRPr="00B219E0">
        <w:rPr>
          <w:rFonts w:cs="Segoe UI"/>
          <w:color w:val="000000"/>
        </w:rPr>
        <w:t xml:space="preserve">2 Annexed to Resolution </w:t>
      </w:r>
      <w:r w:rsidRPr="00B219E0">
        <w:rPr>
          <w:rFonts w:cs="Segoe UI"/>
          <w:b/>
          <w:color w:val="000000"/>
        </w:rPr>
        <w:t>958 (WRC)</w:t>
      </w:r>
      <w:r w:rsidRPr="00B219E0">
        <w:rPr>
          <w:rFonts w:cs="Segoe UI"/>
          <w:color w:val="000000"/>
        </w:rPr>
        <w:t xml:space="preserve">. </w:t>
      </w:r>
    </w:p>
    <w:p w:rsidR="00F44A65" w:rsidRPr="004B427A" w:rsidRDefault="00F44A65" w:rsidP="00F3356B">
      <w:pPr>
        <w:pStyle w:val="NormalWeb"/>
        <w:spacing w:before="0" w:beforeAutospacing="0"/>
        <w:jc w:val="both"/>
        <w:rPr>
          <w:rFonts w:eastAsiaTheme="minorEastAsia"/>
          <w:lang w:eastAsia="zh-CN"/>
        </w:rPr>
      </w:pPr>
      <w:r w:rsidRPr="00B219E0">
        <w:t xml:space="preserve">The Annex to Resolution </w:t>
      </w:r>
      <w:r w:rsidRPr="00B219E0">
        <w:rPr>
          <w:b/>
        </w:rPr>
        <w:t>958 (WRC-15)</w:t>
      </w:r>
      <w:r w:rsidRPr="00B219E0">
        <w:t xml:space="preserve"> sought urgent studies for the 2019 World Radiocommunication Conference. The studies (the responsibility of ITU-R Working Party 1B) are to consider if</w:t>
      </w:r>
      <w:r w:rsidRPr="00B219E0">
        <w:rPr>
          <w:lang w:val="en-GB"/>
        </w:rPr>
        <w:t xml:space="preserve"> there is a need for possible additional measures in order to limit uplink transmissions of terminals to those authorised terminals in accordance with RR No.</w:t>
      </w:r>
      <w:r w:rsidRPr="00B219E0">
        <w:rPr>
          <w:rFonts w:eastAsiaTheme="minorEastAsia"/>
          <w:b/>
          <w:bCs/>
          <w:lang w:val="en-GB" w:eastAsia="zh-CN"/>
        </w:rPr>
        <w:t xml:space="preserve"> </w:t>
      </w:r>
      <w:r w:rsidRPr="00B219E0">
        <w:rPr>
          <w:b/>
          <w:bCs/>
          <w:lang w:val="en-GB"/>
        </w:rPr>
        <w:t>18.1</w:t>
      </w:r>
      <w:r w:rsidRPr="00B219E0">
        <w:rPr>
          <w:lang w:val="en-GB"/>
        </w:rPr>
        <w:t>, and possible methods to ‘assist administrations in managing the unauthorized operation of earth station terminals deployed within its territory, as a tool to guide their national spectrum management programme,’ in accordance with Resolution</w:t>
      </w:r>
      <w:r w:rsidRPr="00B219E0">
        <w:rPr>
          <w:rFonts w:eastAsiaTheme="minorEastAsia"/>
          <w:lang w:val="en-GB" w:eastAsia="zh-CN"/>
        </w:rPr>
        <w:t xml:space="preserve"> </w:t>
      </w:r>
      <w:r w:rsidR="004B427A" w:rsidRPr="00B219E0">
        <w:rPr>
          <w:lang w:val="en-GB"/>
        </w:rPr>
        <w:t>ITU</w:t>
      </w:r>
      <w:r w:rsidR="004B427A" w:rsidRPr="00B219E0">
        <w:rPr>
          <w:rFonts w:eastAsiaTheme="minorEastAsia"/>
          <w:lang w:val="en-GB" w:eastAsia="zh-CN"/>
        </w:rPr>
        <w:t>-</w:t>
      </w:r>
      <w:r w:rsidRPr="00B219E0">
        <w:rPr>
          <w:lang w:val="en-GB"/>
        </w:rPr>
        <w:t>R</w:t>
      </w:r>
      <w:r w:rsidRPr="00B219E0">
        <w:rPr>
          <w:rFonts w:eastAsiaTheme="minorEastAsia"/>
          <w:lang w:val="en-GB" w:eastAsia="zh-CN"/>
        </w:rPr>
        <w:t xml:space="preserve"> </w:t>
      </w:r>
      <w:r w:rsidRPr="00B219E0">
        <w:rPr>
          <w:lang w:val="en-GB"/>
        </w:rPr>
        <w:t>64 (RA</w:t>
      </w:r>
      <w:r w:rsidR="004B427A" w:rsidRPr="00B219E0">
        <w:rPr>
          <w:rFonts w:eastAsiaTheme="minorEastAsia"/>
          <w:lang w:val="en-GB" w:eastAsia="zh-CN"/>
        </w:rPr>
        <w:t>-</w:t>
      </w:r>
      <w:r w:rsidRPr="00B219E0">
        <w:rPr>
          <w:lang w:val="en-GB"/>
        </w:rPr>
        <w:t>15).</w:t>
      </w:r>
      <w:r w:rsidR="004B427A">
        <w:t xml:space="preserve"> </w:t>
      </w:r>
    </w:p>
    <w:p w:rsidR="00F44A65" w:rsidRPr="00B219E0" w:rsidRDefault="00F44A65" w:rsidP="00F3356B">
      <w:pPr>
        <w:pStyle w:val="NormalWeb"/>
        <w:spacing w:before="0" w:beforeAutospacing="0"/>
        <w:jc w:val="both"/>
      </w:pPr>
      <w:r w:rsidRPr="00B219E0">
        <w:t>A</w:t>
      </w:r>
      <w:r w:rsidR="00473CC1" w:rsidRPr="00B219E0">
        <w:t xml:space="preserve">t the June 2017 </w:t>
      </w:r>
      <w:r w:rsidR="00C176EE" w:rsidRPr="00B219E0">
        <w:rPr>
          <w:rFonts w:eastAsiaTheme="minorEastAsia"/>
          <w:lang w:eastAsia="zh-CN"/>
        </w:rPr>
        <w:t xml:space="preserve">Working Party 1B </w:t>
      </w:r>
      <w:r w:rsidR="00473CC1" w:rsidRPr="00B219E0">
        <w:t>meeting</w:t>
      </w:r>
      <w:r w:rsidRPr="00B219E0">
        <w:t xml:space="preserve"> a working document toward a preliminary draft new ITU-R Report on studies for WRC-19 agenda item 9.1, issue 9.1.7</w:t>
      </w:r>
      <w:r w:rsidR="00861FAE">
        <w:rPr>
          <w:rFonts w:eastAsiaTheme="minorEastAsia" w:hint="eastAsia"/>
          <w:lang w:eastAsia="zh-CN"/>
        </w:rPr>
        <w:t xml:space="preserve"> </w:t>
      </w:r>
      <w:r w:rsidR="00C176EE" w:rsidRPr="00B219E0">
        <w:rPr>
          <w:rFonts w:eastAsiaTheme="minorEastAsia"/>
          <w:lang w:eastAsia="zh-CN"/>
        </w:rPr>
        <w:t>(Annex 09 to Doc.</w:t>
      </w:r>
      <w:r w:rsidR="00861FAE" w:rsidRPr="00861FAE">
        <w:rPr>
          <w:rFonts w:eastAsia="SimSun"/>
          <w:color w:val="FF0000"/>
          <w:lang w:eastAsia="zh-CN"/>
        </w:rPr>
        <w:t xml:space="preserve"> </w:t>
      </w:r>
      <w:hyperlink r:id="rId10" w:history="1">
        <w:r w:rsidR="00861FAE" w:rsidRPr="00FA72E6">
          <w:rPr>
            <w:rStyle w:val="Hyperlink"/>
            <w:rFonts w:eastAsia="SimSun" w:hint="eastAsia"/>
            <w:lang w:eastAsia="zh-CN"/>
          </w:rPr>
          <w:t>1B/193</w:t>
        </w:r>
      </w:hyperlink>
      <w:r w:rsidR="00C176EE" w:rsidRPr="00B219E0">
        <w:rPr>
          <w:rFonts w:eastAsiaTheme="minorEastAsia"/>
          <w:lang w:eastAsia="zh-CN"/>
        </w:rPr>
        <w:t>)</w:t>
      </w:r>
      <w:r w:rsidRPr="00B219E0">
        <w:t xml:space="preserve"> was developed based on contributions to the meeting and the information gathered in </w:t>
      </w:r>
      <w:r w:rsidR="00C176EE" w:rsidRPr="00B219E0">
        <w:t>a</w:t>
      </w:r>
      <w:r w:rsidR="00F7483D">
        <w:rPr>
          <w:rFonts w:eastAsiaTheme="minorEastAsia" w:hint="eastAsia"/>
          <w:lang w:eastAsia="zh-CN"/>
        </w:rPr>
        <w:t>n</w:t>
      </w:r>
      <w:r w:rsidR="00C176EE" w:rsidRPr="00B219E0">
        <w:t xml:space="preserve"> earlier</w:t>
      </w:r>
      <w:r w:rsidRPr="00B219E0">
        <w:t xml:space="preserve"> Questionnaire.</w:t>
      </w:r>
      <w:r w:rsidR="00880318">
        <w:rPr>
          <w:rFonts w:asciiTheme="minorEastAsia" w:eastAsiaTheme="minorEastAsia" w:hAnsiTheme="minorEastAsia" w:hint="eastAsia"/>
          <w:lang w:eastAsia="zh-CN"/>
        </w:rPr>
        <w:t xml:space="preserve"> </w:t>
      </w:r>
    </w:p>
    <w:p w:rsidR="00F44A65" w:rsidRDefault="006E32B7" w:rsidP="003E694F">
      <w:pPr>
        <w:spacing w:afterLines="50" w:after="120"/>
        <w:jc w:val="both"/>
        <w:rPr>
          <w:rFonts w:eastAsia="SimSun"/>
          <w:lang w:eastAsia="zh-CN"/>
        </w:rPr>
      </w:pPr>
      <w:r w:rsidRPr="00B219E0">
        <w:rPr>
          <w:rFonts w:eastAsia="SimSun"/>
          <w:lang w:eastAsia="zh-CN"/>
        </w:rPr>
        <w:t>It should be noted that the main body of this working document contains the result of the discussions which was not yet agreed in the June 2017 W</w:t>
      </w:r>
      <w:r w:rsidR="007300C1">
        <w:rPr>
          <w:rFonts w:eastAsia="SimSun" w:hint="eastAsia"/>
          <w:lang w:eastAsia="zh-CN"/>
        </w:rPr>
        <w:t xml:space="preserve">orking </w:t>
      </w:r>
      <w:r w:rsidRPr="00B219E0">
        <w:rPr>
          <w:rFonts w:eastAsia="SimSun"/>
          <w:lang w:eastAsia="zh-CN"/>
        </w:rPr>
        <w:t>P</w:t>
      </w:r>
      <w:r w:rsidR="007300C1">
        <w:rPr>
          <w:rFonts w:eastAsia="SimSun" w:hint="eastAsia"/>
          <w:lang w:eastAsia="zh-CN"/>
        </w:rPr>
        <w:t>arty</w:t>
      </w:r>
      <w:r w:rsidRPr="00B219E0">
        <w:rPr>
          <w:rFonts w:eastAsia="SimSun"/>
          <w:lang w:eastAsia="zh-CN"/>
        </w:rPr>
        <w:t xml:space="preserve"> 1B meeting and further review and discussions are required to come to an agreement in </w:t>
      </w:r>
      <w:r w:rsidR="007300C1" w:rsidRPr="00FA72E6">
        <w:rPr>
          <w:rFonts w:eastAsia="SimSun"/>
          <w:lang w:eastAsia="zh-CN"/>
        </w:rPr>
        <w:t>W</w:t>
      </w:r>
      <w:r w:rsidR="007300C1">
        <w:rPr>
          <w:rFonts w:eastAsia="SimSun" w:hint="eastAsia"/>
          <w:lang w:eastAsia="zh-CN"/>
        </w:rPr>
        <w:t xml:space="preserve">orking </w:t>
      </w:r>
      <w:r w:rsidR="007300C1" w:rsidRPr="00FA72E6">
        <w:rPr>
          <w:rFonts w:eastAsia="SimSun"/>
          <w:lang w:eastAsia="zh-CN"/>
        </w:rPr>
        <w:t>P</w:t>
      </w:r>
      <w:r w:rsidR="007300C1">
        <w:rPr>
          <w:rFonts w:eastAsia="SimSun" w:hint="eastAsia"/>
          <w:lang w:eastAsia="zh-CN"/>
        </w:rPr>
        <w:t>arty</w:t>
      </w:r>
      <w:r w:rsidRPr="00B219E0">
        <w:rPr>
          <w:rFonts w:eastAsia="SimSun"/>
          <w:lang w:eastAsia="zh-CN"/>
        </w:rPr>
        <w:t xml:space="preserve"> 1B on this document.</w:t>
      </w:r>
      <w:r w:rsidR="00880318">
        <w:rPr>
          <w:rFonts w:eastAsia="SimSun" w:hint="eastAsia"/>
          <w:lang w:eastAsia="zh-CN"/>
        </w:rPr>
        <w:t xml:space="preserve"> </w:t>
      </w:r>
      <w:r w:rsidR="00880318">
        <w:rPr>
          <w:rFonts w:eastAsia="SimSun"/>
          <w:lang w:eastAsia="zh-CN"/>
        </w:rPr>
        <w:t>Additionally</w:t>
      </w:r>
      <w:r w:rsidR="00880318">
        <w:rPr>
          <w:rFonts w:eastAsia="SimSun" w:hint="eastAsia"/>
          <w:lang w:eastAsia="zh-CN"/>
        </w:rPr>
        <w:t xml:space="preserve"> a Daft CPM text was attached to the </w:t>
      </w:r>
      <w:r w:rsidR="007300C1" w:rsidRPr="00FA72E6">
        <w:rPr>
          <w:rFonts w:eastAsia="SimSun"/>
          <w:lang w:eastAsia="zh-CN"/>
        </w:rPr>
        <w:t>W</w:t>
      </w:r>
      <w:r w:rsidR="007300C1">
        <w:rPr>
          <w:rFonts w:eastAsia="SimSun" w:hint="eastAsia"/>
          <w:lang w:eastAsia="zh-CN"/>
        </w:rPr>
        <w:t xml:space="preserve">orking </w:t>
      </w:r>
      <w:r w:rsidR="007300C1" w:rsidRPr="00FA72E6">
        <w:rPr>
          <w:rFonts w:eastAsia="SimSun"/>
          <w:lang w:eastAsia="zh-CN"/>
        </w:rPr>
        <w:t>P</w:t>
      </w:r>
      <w:r w:rsidR="007300C1">
        <w:rPr>
          <w:rFonts w:eastAsia="SimSun" w:hint="eastAsia"/>
          <w:lang w:eastAsia="zh-CN"/>
        </w:rPr>
        <w:t xml:space="preserve">arty </w:t>
      </w:r>
      <w:r w:rsidR="00880318">
        <w:rPr>
          <w:rFonts w:eastAsia="SimSun" w:hint="eastAsia"/>
          <w:lang w:eastAsia="zh-CN"/>
        </w:rPr>
        <w:t>1B chairman</w:t>
      </w:r>
      <w:r w:rsidR="00880318">
        <w:rPr>
          <w:rFonts w:eastAsia="SimSun"/>
          <w:lang w:eastAsia="zh-CN"/>
        </w:rPr>
        <w:t>’</w:t>
      </w:r>
      <w:r w:rsidR="00880318">
        <w:rPr>
          <w:rFonts w:eastAsia="SimSun" w:hint="eastAsia"/>
          <w:lang w:eastAsia="zh-CN"/>
        </w:rPr>
        <w:t xml:space="preserve">s report as an </w:t>
      </w:r>
      <w:r w:rsidR="00810476">
        <w:rPr>
          <w:rFonts w:eastAsia="SimSun" w:hint="eastAsia"/>
          <w:lang w:eastAsia="zh-CN"/>
        </w:rPr>
        <w:t>A</w:t>
      </w:r>
      <w:r w:rsidR="00880318">
        <w:rPr>
          <w:rFonts w:eastAsia="SimSun" w:hint="eastAsia"/>
          <w:lang w:eastAsia="zh-CN"/>
        </w:rPr>
        <w:t>nnex 07 to Doc</w:t>
      </w:r>
      <w:r w:rsidR="00880318" w:rsidRPr="00861FAE">
        <w:rPr>
          <w:rFonts w:eastAsia="SimSun"/>
          <w:lang w:eastAsia="zh-CN"/>
        </w:rPr>
        <w:t>.</w:t>
      </w:r>
      <w:hyperlink r:id="rId11" w:history="1">
        <w:r w:rsidR="00880318" w:rsidRPr="00B219E0">
          <w:rPr>
            <w:rStyle w:val="Hyperlink"/>
          </w:rPr>
          <w:t>1B/193</w:t>
        </w:r>
      </w:hyperlink>
      <w:r w:rsidR="00880318">
        <w:rPr>
          <w:rFonts w:eastAsia="SimSun" w:hint="eastAsia"/>
          <w:lang w:eastAsia="zh-CN"/>
        </w:rPr>
        <w:t xml:space="preserve">. However, WP 1B did not have the chance to discuss the detail of the document. </w:t>
      </w:r>
      <w:r w:rsidR="007300C1">
        <w:rPr>
          <w:rFonts w:eastAsia="SimSun" w:hint="eastAsia"/>
          <w:lang w:eastAsia="zh-CN"/>
        </w:rPr>
        <w:t xml:space="preserve">Further contributions are invited. </w:t>
      </w:r>
    </w:p>
    <w:p w:rsidR="00880318" w:rsidRPr="003E694F" w:rsidRDefault="00880318" w:rsidP="003E694F">
      <w:pPr>
        <w:spacing w:afterLines="50" w:after="120"/>
        <w:jc w:val="both"/>
        <w:rPr>
          <w:rFonts w:eastAsia="SimSun"/>
          <w:lang w:eastAsia="zh-CN"/>
        </w:rPr>
      </w:pPr>
    </w:p>
    <w:p w:rsidR="00B64A60" w:rsidRPr="00710333" w:rsidRDefault="00B64A60" w:rsidP="00B64A60">
      <w:pPr>
        <w:spacing w:after="120"/>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rsidR="00B64A60" w:rsidRPr="005F5A1B" w:rsidRDefault="007570AC" w:rsidP="005F5A1B">
      <w:pPr>
        <w:spacing w:after="120"/>
        <w:jc w:val="both"/>
        <w:rPr>
          <w:rFonts w:eastAsiaTheme="minorEastAsia"/>
          <w:lang w:val="en-NZ" w:eastAsia="zh-CN"/>
        </w:rPr>
      </w:pPr>
      <w:r w:rsidRPr="007570AC">
        <w:rPr>
          <w:rFonts w:eastAsiaTheme="minorEastAsia" w:hint="eastAsia"/>
          <w:b/>
          <w:lang w:val="en-NZ" w:eastAsia="zh-CN"/>
        </w:rPr>
        <w:t>2.1</w:t>
      </w:r>
      <w:r w:rsidRPr="005F5A1B">
        <w:rPr>
          <w:rFonts w:eastAsiaTheme="minorEastAsia" w:hint="eastAsia"/>
          <w:b/>
          <w:lang w:val="en-NZ" w:eastAsia="zh-CN"/>
        </w:rPr>
        <w:t xml:space="preserve"> </w:t>
      </w:r>
      <w:r w:rsidR="00B64A60" w:rsidRPr="005F5A1B">
        <w:rPr>
          <w:rFonts w:eastAsiaTheme="minorEastAsia"/>
          <w:b/>
          <w:lang w:val="en-NZ" w:eastAsia="zh-CN"/>
        </w:rPr>
        <w:t>Input Documents</w:t>
      </w:r>
      <w:r w:rsidR="008C5D03" w:rsidRPr="005F5A1B">
        <w:rPr>
          <w:rFonts w:eastAsiaTheme="minorEastAsia" w:hint="eastAsia"/>
          <w:b/>
          <w:lang w:val="en-NZ" w:eastAsia="zh-CN"/>
        </w:rPr>
        <w:t>:</w:t>
      </w:r>
      <w:r w:rsidR="00B64A60" w:rsidRPr="005F5A1B">
        <w:rPr>
          <w:rFonts w:eastAsiaTheme="minorEastAsia"/>
          <w:b/>
          <w:lang w:val="en-NZ" w:eastAsia="zh-CN"/>
        </w:rPr>
        <w:t xml:space="preserve"> </w:t>
      </w:r>
      <w:bookmarkStart w:id="2" w:name="OLE_LINK1"/>
      <w:bookmarkStart w:id="3" w:name="OLE_LINK2"/>
      <w:r w:rsidR="00FD1156" w:rsidRPr="005F5A1B">
        <w:rPr>
          <w:rFonts w:eastAsiaTheme="minorEastAsia"/>
          <w:lang w:val="en-NZ" w:eastAsia="zh-CN"/>
        </w:rPr>
        <w:t>APG19-2</w:t>
      </w:r>
      <w:r w:rsidR="0039038F" w:rsidRPr="005F5A1B">
        <w:rPr>
          <w:rFonts w:eastAsiaTheme="minorEastAsia" w:hint="eastAsia"/>
          <w:lang w:val="en-NZ" w:eastAsia="zh-CN"/>
        </w:rPr>
        <w:t>/</w:t>
      </w:r>
      <w:r w:rsidR="00FD1156" w:rsidRPr="005F5A1B">
        <w:rPr>
          <w:rFonts w:eastAsiaTheme="minorEastAsia"/>
          <w:lang w:val="en-NZ" w:eastAsia="zh-CN"/>
        </w:rPr>
        <w:t>INP-33</w:t>
      </w:r>
      <w:r w:rsidR="00B80B97" w:rsidRPr="005F5A1B">
        <w:rPr>
          <w:rFonts w:eastAsiaTheme="minorEastAsia" w:hint="eastAsia"/>
          <w:lang w:val="en-NZ" w:eastAsia="zh-CN"/>
        </w:rPr>
        <w:t xml:space="preserve">(AUS), </w:t>
      </w:r>
      <w:r w:rsidRPr="005F5A1B">
        <w:rPr>
          <w:rFonts w:eastAsiaTheme="minorEastAsia"/>
          <w:lang w:val="en-NZ" w:eastAsia="zh-CN"/>
        </w:rPr>
        <w:t>APG19-2</w:t>
      </w:r>
      <w:r w:rsidRPr="005F5A1B">
        <w:rPr>
          <w:rFonts w:eastAsiaTheme="minorEastAsia" w:hint="eastAsia"/>
          <w:lang w:val="en-NZ" w:eastAsia="zh-CN"/>
        </w:rPr>
        <w:t>/</w:t>
      </w:r>
      <w:r w:rsidRPr="005F5A1B">
        <w:rPr>
          <w:rFonts w:eastAsiaTheme="minorEastAsia"/>
          <w:lang w:val="en-NZ" w:eastAsia="zh-CN"/>
        </w:rPr>
        <w:t>INP-</w:t>
      </w:r>
      <w:r w:rsidR="009A77F4" w:rsidRPr="005F5A1B">
        <w:rPr>
          <w:rFonts w:eastAsiaTheme="minorEastAsia"/>
          <w:lang w:val="en-NZ" w:eastAsia="zh-CN"/>
        </w:rPr>
        <w:t>54</w:t>
      </w:r>
      <w:r w:rsidR="00B80B97" w:rsidRPr="005F5A1B">
        <w:rPr>
          <w:rFonts w:eastAsiaTheme="minorEastAsia" w:hint="eastAsia"/>
          <w:lang w:val="en-NZ" w:eastAsia="zh-CN"/>
        </w:rPr>
        <w:t xml:space="preserve">(CHN), </w:t>
      </w:r>
      <w:r w:rsidRPr="005F5A1B">
        <w:rPr>
          <w:rFonts w:eastAsiaTheme="minorEastAsia"/>
          <w:lang w:val="en-NZ" w:eastAsia="zh-CN"/>
        </w:rPr>
        <w:t>APG19-2</w:t>
      </w:r>
      <w:r w:rsidRPr="005F5A1B">
        <w:rPr>
          <w:rFonts w:eastAsiaTheme="minorEastAsia" w:hint="eastAsia"/>
          <w:lang w:val="en-NZ" w:eastAsia="zh-CN"/>
        </w:rPr>
        <w:t>/</w:t>
      </w:r>
      <w:r w:rsidRPr="005F5A1B">
        <w:rPr>
          <w:rFonts w:eastAsiaTheme="minorEastAsia"/>
          <w:lang w:val="en-NZ" w:eastAsia="zh-CN"/>
        </w:rPr>
        <w:t>INP-</w:t>
      </w:r>
      <w:r w:rsidR="009A77F4" w:rsidRPr="005F5A1B">
        <w:rPr>
          <w:rFonts w:eastAsiaTheme="minorEastAsia"/>
          <w:lang w:val="en-NZ" w:eastAsia="zh-CN"/>
        </w:rPr>
        <w:t>60</w:t>
      </w:r>
      <w:bookmarkEnd w:id="2"/>
      <w:bookmarkEnd w:id="3"/>
      <w:r w:rsidR="00B80B97" w:rsidRPr="005F5A1B">
        <w:rPr>
          <w:rFonts w:eastAsiaTheme="minorEastAsia" w:hint="eastAsia"/>
          <w:lang w:val="en-NZ" w:eastAsia="zh-CN"/>
        </w:rPr>
        <w:t>(J)</w:t>
      </w:r>
      <w:r w:rsidR="009A77F4" w:rsidRPr="005F5A1B">
        <w:rPr>
          <w:rFonts w:eastAsiaTheme="minorEastAsia" w:hint="eastAsia"/>
          <w:lang w:val="en-NZ" w:eastAsia="zh-CN"/>
        </w:rPr>
        <w:t>.</w:t>
      </w:r>
    </w:p>
    <w:p w:rsidR="009A77F4" w:rsidRPr="005F5A1B" w:rsidRDefault="007570AC" w:rsidP="009653A7">
      <w:pPr>
        <w:spacing w:after="120"/>
        <w:jc w:val="both"/>
        <w:rPr>
          <w:rFonts w:eastAsiaTheme="minorEastAsia"/>
          <w:b/>
          <w:lang w:val="en-NZ" w:eastAsia="zh-CN"/>
        </w:rPr>
      </w:pPr>
      <w:r w:rsidRPr="007570AC">
        <w:rPr>
          <w:rFonts w:eastAsiaTheme="minorEastAsia" w:hint="eastAsia"/>
          <w:b/>
          <w:lang w:val="en-NZ" w:eastAsia="zh-CN"/>
        </w:rPr>
        <w:lastRenderedPageBreak/>
        <w:t>2.2</w:t>
      </w:r>
      <w:r w:rsidRPr="005F5A1B">
        <w:rPr>
          <w:rFonts w:eastAsiaTheme="minorEastAsia" w:hint="eastAsia"/>
          <w:b/>
          <w:lang w:val="en-NZ" w:eastAsia="zh-CN"/>
        </w:rPr>
        <w:t xml:space="preserve"> </w:t>
      </w:r>
      <w:r w:rsidR="00B64A60" w:rsidRPr="005F5A1B">
        <w:rPr>
          <w:rFonts w:eastAsiaTheme="minorEastAsia"/>
          <w:b/>
          <w:lang w:val="en-NZ" w:eastAsia="zh-CN"/>
        </w:rPr>
        <w:t>Information Documents</w:t>
      </w:r>
      <w:r w:rsidR="008C5D03" w:rsidRPr="005F5A1B">
        <w:rPr>
          <w:rFonts w:eastAsiaTheme="minorEastAsia" w:hint="eastAsia"/>
          <w:b/>
          <w:lang w:val="en-NZ" w:eastAsia="zh-CN"/>
        </w:rPr>
        <w:t>:</w:t>
      </w:r>
      <w:r w:rsidR="009A77F4" w:rsidRPr="005F5A1B">
        <w:rPr>
          <w:rFonts w:eastAsiaTheme="minorEastAsia" w:hint="eastAsia"/>
          <w:lang w:val="en-NZ" w:eastAsia="zh-CN"/>
        </w:rPr>
        <w:t xml:space="preserve"> </w:t>
      </w:r>
      <w:bookmarkStart w:id="4" w:name="OLE_LINK3"/>
      <w:bookmarkStart w:id="5" w:name="OLE_LINK4"/>
      <w:r w:rsidR="009A77F4" w:rsidRPr="005F5A1B">
        <w:rPr>
          <w:rFonts w:eastAsiaTheme="minorEastAsia"/>
          <w:lang w:val="en-NZ" w:eastAsia="zh-CN"/>
        </w:rPr>
        <w:t>APG19-2</w:t>
      </w:r>
      <w:r w:rsidR="0039038F" w:rsidRPr="005F5A1B">
        <w:rPr>
          <w:rFonts w:eastAsiaTheme="minorEastAsia" w:hint="eastAsia"/>
          <w:lang w:val="en-NZ" w:eastAsia="zh-CN"/>
        </w:rPr>
        <w:t>/</w:t>
      </w:r>
      <w:r w:rsidR="009A77F4" w:rsidRPr="005F5A1B">
        <w:rPr>
          <w:rFonts w:eastAsiaTheme="minorEastAsia"/>
          <w:lang w:val="en-NZ" w:eastAsia="zh-CN"/>
        </w:rPr>
        <w:t>INF-01</w:t>
      </w:r>
      <w:r w:rsidR="00B80B97" w:rsidRPr="005F5A1B">
        <w:rPr>
          <w:rFonts w:eastAsiaTheme="minorEastAsia" w:hint="eastAsia"/>
          <w:lang w:val="en-NZ" w:eastAsia="zh-CN"/>
        </w:rPr>
        <w:t>(</w:t>
      </w:r>
      <w:r w:rsidR="007300C1">
        <w:rPr>
          <w:rFonts w:eastAsiaTheme="minorEastAsia" w:hint="eastAsia"/>
          <w:lang w:val="en-NZ" w:eastAsia="zh-CN"/>
        </w:rPr>
        <w:t>Chair APG-19</w:t>
      </w:r>
      <w:r w:rsidR="00B80B97" w:rsidRPr="005F5A1B">
        <w:rPr>
          <w:rFonts w:eastAsiaTheme="minorEastAsia" w:hint="eastAsia"/>
          <w:lang w:val="en-NZ" w:eastAsia="zh-CN"/>
        </w:rPr>
        <w:t>)</w:t>
      </w:r>
      <w:r w:rsidR="009A77F4" w:rsidRPr="005F5A1B">
        <w:rPr>
          <w:rFonts w:eastAsiaTheme="minorEastAsia" w:hint="eastAsia"/>
          <w:lang w:val="en-NZ" w:eastAsia="zh-CN"/>
        </w:rPr>
        <w:t>,</w:t>
      </w:r>
      <w:r w:rsidR="00B80B97" w:rsidRPr="005F5A1B">
        <w:rPr>
          <w:rFonts w:eastAsiaTheme="minorEastAsia"/>
          <w:lang w:val="en-NZ" w:eastAsia="zh-CN"/>
        </w:rPr>
        <w:t xml:space="preserve"> </w:t>
      </w:r>
      <w:r w:rsidRPr="005F5A1B">
        <w:rPr>
          <w:rFonts w:eastAsiaTheme="minorEastAsia"/>
          <w:lang w:val="en-NZ" w:eastAsia="zh-CN"/>
        </w:rPr>
        <w:t>APG19-2</w:t>
      </w:r>
      <w:r w:rsidRPr="005F5A1B">
        <w:rPr>
          <w:rFonts w:eastAsiaTheme="minorEastAsia" w:hint="eastAsia"/>
          <w:lang w:val="en-NZ" w:eastAsia="zh-CN"/>
        </w:rPr>
        <w:t>/</w:t>
      </w:r>
      <w:r w:rsidRPr="005F5A1B">
        <w:rPr>
          <w:rFonts w:eastAsiaTheme="minorEastAsia"/>
          <w:lang w:val="en-NZ" w:eastAsia="zh-CN"/>
        </w:rPr>
        <w:t>INF</w:t>
      </w:r>
      <w:r w:rsidR="009653A7">
        <w:rPr>
          <w:rFonts w:eastAsiaTheme="minorEastAsia"/>
          <w:lang w:val="en-NZ" w:eastAsia="zh-CN"/>
        </w:rPr>
        <w:t>-</w:t>
      </w:r>
      <w:r w:rsidR="009A77F4" w:rsidRPr="005F5A1B">
        <w:rPr>
          <w:rFonts w:eastAsiaTheme="minorEastAsia"/>
          <w:lang w:val="en-NZ" w:eastAsia="zh-CN"/>
        </w:rPr>
        <w:t>04</w:t>
      </w:r>
      <w:r w:rsidR="00B80B97" w:rsidRPr="005F5A1B">
        <w:rPr>
          <w:rFonts w:eastAsiaTheme="minorEastAsia" w:hint="eastAsia"/>
          <w:lang w:val="en-NZ" w:eastAsia="zh-CN"/>
        </w:rPr>
        <w:t>(CITEL)</w:t>
      </w:r>
      <w:r w:rsidR="009A77F4" w:rsidRPr="005F5A1B">
        <w:rPr>
          <w:rFonts w:eastAsiaTheme="minorEastAsia" w:hint="eastAsia"/>
          <w:lang w:val="en-NZ" w:eastAsia="zh-CN"/>
        </w:rPr>
        <w:t xml:space="preserve">, </w:t>
      </w:r>
      <w:r w:rsidRPr="005F5A1B">
        <w:rPr>
          <w:rFonts w:eastAsiaTheme="minorEastAsia"/>
          <w:lang w:val="en-NZ" w:eastAsia="zh-CN"/>
        </w:rPr>
        <w:t>APG19-2</w:t>
      </w:r>
      <w:r w:rsidRPr="005F5A1B">
        <w:rPr>
          <w:rFonts w:eastAsiaTheme="minorEastAsia" w:hint="eastAsia"/>
          <w:lang w:val="en-NZ" w:eastAsia="zh-CN"/>
        </w:rPr>
        <w:t>/</w:t>
      </w:r>
      <w:r w:rsidRPr="005F5A1B">
        <w:rPr>
          <w:rFonts w:eastAsiaTheme="minorEastAsia"/>
          <w:lang w:val="en-NZ" w:eastAsia="zh-CN"/>
        </w:rPr>
        <w:t>INF</w:t>
      </w:r>
      <w:r w:rsidR="009653A7">
        <w:rPr>
          <w:rFonts w:eastAsiaTheme="minorEastAsia"/>
          <w:lang w:val="en-NZ" w:eastAsia="zh-CN"/>
        </w:rPr>
        <w:t>-</w:t>
      </w:r>
      <w:r w:rsidR="009A77F4" w:rsidRPr="005F5A1B">
        <w:rPr>
          <w:rFonts w:eastAsiaTheme="minorEastAsia"/>
          <w:lang w:val="en-NZ" w:eastAsia="zh-CN"/>
        </w:rPr>
        <w:t>05</w:t>
      </w:r>
      <w:r w:rsidR="00B80B97" w:rsidRPr="005F5A1B">
        <w:rPr>
          <w:rFonts w:eastAsiaTheme="minorEastAsia" w:hint="eastAsia"/>
          <w:lang w:val="en-NZ" w:eastAsia="zh-CN"/>
        </w:rPr>
        <w:t>(</w:t>
      </w:r>
      <w:r w:rsidR="009A77F4" w:rsidRPr="005F5A1B">
        <w:rPr>
          <w:rFonts w:eastAsiaTheme="minorEastAsia"/>
          <w:lang w:val="en-NZ" w:eastAsia="zh-CN"/>
        </w:rPr>
        <w:t>RCC</w:t>
      </w:r>
      <w:r w:rsidR="00B80B97" w:rsidRPr="005F5A1B">
        <w:rPr>
          <w:rFonts w:eastAsiaTheme="minorEastAsia" w:hint="eastAsia"/>
          <w:lang w:val="en-NZ" w:eastAsia="zh-CN"/>
        </w:rPr>
        <w:t>)</w:t>
      </w:r>
      <w:r w:rsidR="009A77F4" w:rsidRPr="005F5A1B">
        <w:rPr>
          <w:rFonts w:eastAsiaTheme="minorEastAsia" w:hint="eastAsia"/>
          <w:lang w:val="en-NZ" w:eastAsia="zh-CN"/>
        </w:rPr>
        <w:t xml:space="preserve">, </w:t>
      </w:r>
      <w:r w:rsidRPr="005F5A1B">
        <w:rPr>
          <w:rFonts w:eastAsiaTheme="minorEastAsia"/>
          <w:lang w:val="en-NZ" w:eastAsia="zh-CN"/>
        </w:rPr>
        <w:t>APG19-2</w:t>
      </w:r>
      <w:r w:rsidRPr="005F5A1B">
        <w:rPr>
          <w:rFonts w:eastAsiaTheme="minorEastAsia" w:hint="eastAsia"/>
          <w:lang w:val="en-NZ" w:eastAsia="zh-CN"/>
        </w:rPr>
        <w:t>/</w:t>
      </w:r>
      <w:r w:rsidRPr="005F5A1B">
        <w:rPr>
          <w:rFonts w:eastAsiaTheme="minorEastAsia"/>
          <w:lang w:val="en-NZ" w:eastAsia="zh-CN"/>
        </w:rPr>
        <w:t>INF</w:t>
      </w:r>
      <w:r w:rsidR="009653A7">
        <w:rPr>
          <w:rFonts w:eastAsiaTheme="minorEastAsia"/>
          <w:lang w:val="en-NZ" w:eastAsia="zh-CN"/>
        </w:rPr>
        <w:t>-</w:t>
      </w:r>
      <w:r w:rsidR="009A77F4" w:rsidRPr="005F5A1B">
        <w:rPr>
          <w:rFonts w:eastAsiaTheme="minorEastAsia"/>
          <w:lang w:val="en-NZ" w:eastAsia="zh-CN"/>
        </w:rPr>
        <w:t>07</w:t>
      </w:r>
      <w:r w:rsidR="00B80B97" w:rsidRPr="005F5A1B">
        <w:rPr>
          <w:rFonts w:eastAsiaTheme="minorEastAsia" w:hint="eastAsia"/>
          <w:lang w:val="en-NZ" w:eastAsia="zh-CN"/>
        </w:rPr>
        <w:t>(</w:t>
      </w:r>
      <w:r w:rsidR="009A77F4" w:rsidRPr="005F5A1B">
        <w:rPr>
          <w:rFonts w:eastAsiaTheme="minorEastAsia"/>
          <w:lang w:val="en-NZ" w:eastAsia="zh-CN"/>
        </w:rPr>
        <w:t>ATU</w:t>
      </w:r>
      <w:bookmarkEnd w:id="4"/>
      <w:bookmarkEnd w:id="5"/>
      <w:r w:rsidR="00B80B97" w:rsidRPr="005F5A1B">
        <w:rPr>
          <w:rFonts w:eastAsiaTheme="minorEastAsia" w:hint="eastAsia"/>
          <w:lang w:val="en-NZ" w:eastAsia="zh-CN"/>
        </w:rPr>
        <w:t>),</w:t>
      </w:r>
      <w:r w:rsidR="00B80B97" w:rsidRPr="005F5A1B">
        <w:rPr>
          <w:rFonts w:eastAsiaTheme="minorEastAsia"/>
          <w:lang w:val="en-NZ" w:eastAsia="zh-CN"/>
        </w:rPr>
        <w:t xml:space="preserve"> </w:t>
      </w:r>
      <w:r w:rsidRPr="005F5A1B">
        <w:rPr>
          <w:rFonts w:eastAsiaTheme="minorEastAsia"/>
          <w:lang w:val="en-NZ" w:eastAsia="zh-CN"/>
        </w:rPr>
        <w:t>APG19-2</w:t>
      </w:r>
      <w:r w:rsidRPr="005F5A1B">
        <w:rPr>
          <w:rFonts w:eastAsiaTheme="minorEastAsia" w:hint="eastAsia"/>
          <w:lang w:val="en-NZ" w:eastAsia="zh-CN"/>
        </w:rPr>
        <w:t>/</w:t>
      </w:r>
      <w:r w:rsidRPr="005F5A1B">
        <w:rPr>
          <w:rFonts w:eastAsiaTheme="minorEastAsia"/>
          <w:lang w:val="en-NZ" w:eastAsia="zh-CN"/>
        </w:rPr>
        <w:t>INF</w:t>
      </w:r>
      <w:r w:rsidR="009653A7">
        <w:rPr>
          <w:rFonts w:eastAsiaTheme="minorEastAsia"/>
          <w:lang w:val="en-NZ" w:eastAsia="zh-CN"/>
        </w:rPr>
        <w:t>-</w:t>
      </w:r>
      <w:r w:rsidR="00B80B97" w:rsidRPr="005F5A1B">
        <w:rPr>
          <w:rFonts w:eastAsiaTheme="minorEastAsia"/>
          <w:lang w:val="en-NZ" w:eastAsia="zh-CN"/>
        </w:rPr>
        <w:t>14</w:t>
      </w:r>
      <w:r w:rsidR="00B80B97" w:rsidRPr="005F5A1B">
        <w:rPr>
          <w:rFonts w:eastAsiaTheme="minorEastAsia" w:hint="eastAsia"/>
          <w:lang w:val="en-NZ" w:eastAsia="zh-CN"/>
        </w:rPr>
        <w:t>(</w:t>
      </w:r>
      <w:r w:rsidR="00B80B97" w:rsidRPr="005F5A1B">
        <w:rPr>
          <w:rFonts w:eastAsiaTheme="minorEastAsia"/>
          <w:lang w:val="en-NZ" w:eastAsia="zh-CN"/>
        </w:rPr>
        <w:t>CEPT</w:t>
      </w:r>
      <w:r w:rsidR="00B80B97" w:rsidRPr="005F5A1B">
        <w:rPr>
          <w:rFonts w:eastAsiaTheme="minorEastAsia" w:hint="eastAsia"/>
          <w:lang w:val="en-NZ" w:eastAsia="zh-CN"/>
        </w:rPr>
        <w:t>)</w:t>
      </w:r>
      <w:r w:rsidR="009A77F4" w:rsidRPr="005F5A1B">
        <w:rPr>
          <w:rFonts w:eastAsiaTheme="minorEastAsia" w:hint="eastAsia"/>
          <w:lang w:val="en-NZ" w:eastAsia="zh-CN"/>
        </w:rPr>
        <w:t>.</w:t>
      </w:r>
    </w:p>
    <w:p w:rsidR="008C5D03" w:rsidRPr="0021653E" w:rsidRDefault="008C5D03" w:rsidP="008C5D03">
      <w:pPr>
        <w:rPr>
          <w:lang w:val="en-NZ"/>
        </w:rPr>
      </w:pPr>
    </w:p>
    <w:p w:rsidR="00B64A60" w:rsidRDefault="00B64A60" w:rsidP="00B64A60">
      <w:pPr>
        <w:spacing w:after="120"/>
        <w:jc w:val="both"/>
        <w:rPr>
          <w:b/>
          <w:lang w:val="en-NZ" w:eastAsia="ko-KR"/>
        </w:rPr>
      </w:pPr>
      <w:r>
        <w:rPr>
          <w:b/>
          <w:lang w:val="en-NZ" w:eastAsia="ko-KR"/>
        </w:rPr>
        <w:t xml:space="preserve">3. </w:t>
      </w:r>
      <w:r>
        <w:rPr>
          <w:b/>
          <w:lang w:val="en-NZ" w:eastAsia="ko-KR"/>
        </w:rPr>
        <w:tab/>
        <w:t>Summary of Discussions</w:t>
      </w:r>
    </w:p>
    <w:p w:rsidR="00BB7C9E" w:rsidRDefault="007570AC" w:rsidP="007570AC">
      <w:pPr>
        <w:spacing w:beforeLines="50" w:before="120"/>
        <w:jc w:val="lowKashida"/>
        <w:rPr>
          <w:rFonts w:eastAsiaTheme="minorEastAsia"/>
          <w:lang w:eastAsia="zh-CN"/>
        </w:rPr>
      </w:pPr>
      <w:r w:rsidRPr="00FD6F1A">
        <w:t xml:space="preserve">APT </w:t>
      </w:r>
      <w:r>
        <w:t>M</w:t>
      </w:r>
      <w:r w:rsidRPr="00FD6F1A">
        <w:t>embers</w:t>
      </w:r>
      <w:r>
        <w:rPr>
          <w:rFonts w:eastAsia="MS Mincho" w:hint="eastAsia"/>
          <w:lang w:eastAsia="ja-JP"/>
        </w:rPr>
        <w:t xml:space="preserve"> </w:t>
      </w:r>
      <w:r w:rsidR="004B427A">
        <w:rPr>
          <w:rFonts w:eastAsiaTheme="minorEastAsia" w:hint="eastAsia"/>
          <w:lang w:eastAsia="zh-CN"/>
        </w:rPr>
        <w:t>discussed</w:t>
      </w:r>
      <w:r>
        <w:rPr>
          <w:rFonts w:eastAsia="MS Mincho" w:hint="eastAsia"/>
          <w:lang w:eastAsia="ja-JP"/>
        </w:rPr>
        <w:t xml:space="preserve"> the input documents submitted to the meeting, and developed </w:t>
      </w:r>
      <w:r>
        <w:rPr>
          <w:rFonts w:eastAsia="MS Mincho"/>
          <w:lang w:eastAsia="ja-JP"/>
        </w:rPr>
        <w:t>“</w:t>
      </w:r>
      <w:r>
        <w:rPr>
          <w:rFonts w:eastAsia="MS Mincho" w:hint="eastAsia"/>
          <w:lang w:eastAsia="ja-JP"/>
        </w:rPr>
        <w:t>APT preliminary views</w:t>
      </w:r>
      <w:r>
        <w:rPr>
          <w:rFonts w:eastAsia="MS Mincho"/>
          <w:lang w:eastAsia="ja-JP"/>
        </w:rPr>
        <w:t>”</w:t>
      </w:r>
      <w:r>
        <w:rPr>
          <w:rFonts w:eastAsia="MS Mincho" w:hint="eastAsia"/>
          <w:lang w:eastAsia="ja-JP"/>
        </w:rPr>
        <w:t xml:space="preserve"> as provided in the </w:t>
      </w:r>
      <w:r>
        <w:rPr>
          <w:rFonts w:eastAsia="MS Mincho"/>
          <w:lang w:eastAsia="ja-JP"/>
        </w:rPr>
        <w:t>following</w:t>
      </w:r>
      <w:r>
        <w:rPr>
          <w:rFonts w:eastAsia="MS Mincho" w:hint="eastAsia"/>
          <w:lang w:eastAsia="ja-JP"/>
        </w:rPr>
        <w:t xml:space="preserve"> section 4.</w:t>
      </w:r>
    </w:p>
    <w:p w:rsidR="00C13FC6" w:rsidRPr="00C13FC6" w:rsidRDefault="00C13FC6" w:rsidP="007570AC">
      <w:pPr>
        <w:spacing w:beforeLines="50" w:before="120"/>
        <w:jc w:val="lowKashida"/>
        <w:rPr>
          <w:rFonts w:eastAsiaTheme="minorEastAsia"/>
          <w:lang w:eastAsia="zh-CN"/>
        </w:rPr>
      </w:pPr>
    </w:p>
    <w:p w:rsidR="00C13FC6" w:rsidRPr="007457D3" w:rsidRDefault="00C13FC6" w:rsidP="00C13FC6">
      <w:pPr>
        <w:spacing w:after="120"/>
        <w:jc w:val="both"/>
        <w:rPr>
          <w:b/>
          <w:lang w:val="en-NZ" w:eastAsia="ko-KR"/>
        </w:rPr>
      </w:pPr>
      <w:r w:rsidRPr="007457D3">
        <w:rPr>
          <w:b/>
          <w:lang w:val="en-NZ" w:eastAsia="ko-KR"/>
        </w:rPr>
        <w:t>3.1</w:t>
      </w:r>
      <w:r w:rsidRPr="007457D3">
        <w:rPr>
          <w:b/>
          <w:lang w:val="en-NZ" w:eastAsia="ko-KR"/>
        </w:rPr>
        <w:tab/>
        <w:t xml:space="preserve"> Summary of Members’ view</w:t>
      </w:r>
    </w:p>
    <w:p w:rsidR="00BB7C9E" w:rsidRPr="00BB7C9E" w:rsidRDefault="00BB7C9E" w:rsidP="00BB7C9E">
      <w:pPr>
        <w:spacing w:after="120"/>
        <w:jc w:val="both"/>
        <w:rPr>
          <w:rFonts w:eastAsiaTheme="minorEastAsia"/>
          <w:b/>
          <w:lang w:val="en-NZ" w:eastAsia="zh-CN"/>
        </w:rPr>
      </w:pPr>
      <w:r>
        <w:rPr>
          <w:b/>
          <w:lang w:val="en-NZ" w:eastAsia="ko-KR"/>
        </w:rPr>
        <w:t xml:space="preserve">3.1.1 </w:t>
      </w:r>
      <w:r>
        <w:rPr>
          <w:rFonts w:eastAsiaTheme="minorEastAsia"/>
          <w:b/>
          <w:lang w:val="en-NZ" w:eastAsia="zh-CN"/>
        </w:rPr>
        <w:t>Australia</w:t>
      </w:r>
    </w:p>
    <w:p w:rsidR="008B4EF9" w:rsidRPr="007300C1" w:rsidRDefault="008B4EF9" w:rsidP="00BB7C9E">
      <w:pPr>
        <w:spacing w:after="120"/>
        <w:jc w:val="both"/>
        <w:rPr>
          <w:rFonts w:eastAsiaTheme="minorEastAsia"/>
          <w:b/>
          <w:lang w:val="en-NZ" w:eastAsia="zh-CN"/>
        </w:rPr>
      </w:pPr>
      <w:r w:rsidRPr="00B219E0">
        <w:t>Australia is of the view that earth station licensing and related issues are national matters and no changes to the Radio Regulations are necessary as Article 18 sufficiently addresses the required international regulatory measures.</w:t>
      </w:r>
    </w:p>
    <w:p w:rsidR="00BB7C9E" w:rsidRPr="007300C1" w:rsidRDefault="00BB7C9E" w:rsidP="00BB7C9E">
      <w:pPr>
        <w:spacing w:after="120"/>
        <w:jc w:val="both"/>
        <w:rPr>
          <w:rFonts w:eastAsiaTheme="minorEastAsia"/>
          <w:b/>
          <w:lang w:val="en-NZ" w:eastAsia="zh-CN"/>
        </w:rPr>
      </w:pPr>
      <w:r w:rsidRPr="007300C1">
        <w:rPr>
          <w:b/>
          <w:lang w:val="en-NZ" w:eastAsia="ko-KR"/>
        </w:rPr>
        <w:t xml:space="preserve">3.1.2 </w:t>
      </w:r>
      <w:r w:rsidRPr="007300C1">
        <w:rPr>
          <w:rFonts w:eastAsiaTheme="minorEastAsia"/>
          <w:b/>
          <w:lang w:val="en-NZ" w:eastAsia="zh-CN"/>
        </w:rPr>
        <w:t>China</w:t>
      </w:r>
    </w:p>
    <w:p w:rsidR="008B4EF9" w:rsidRPr="007300C1" w:rsidRDefault="008B4EF9" w:rsidP="00BB7C9E">
      <w:pPr>
        <w:spacing w:after="120"/>
        <w:jc w:val="both"/>
        <w:rPr>
          <w:rFonts w:eastAsiaTheme="minorEastAsia"/>
          <w:b/>
          <w:lang w:val="en-NZ" w:eastAsia="zh-CN"/>
        </w:rPr>
      </w:pPr>
      <w:r w:rsidRPr="00B219E0">
        <w:t>China supports the studies on this Issue carried out in ITU-R WP 1B and will pay close attention to the progress made in those studies. Noting the slow progress of the studies, APT members are encouraged to contribute actively to the Working Document towards a PDN Report on this Issue at next WP 1B meeting.</w:t>
      </w:r>
    </w:p>
    <w:p w:rsidR="00BB7C9E" w:rsidRPr="007300C1" w:rsidRDefault="00BB7C9E" w:rsidP="00BB7C9E">
      <w:pPr>
        <w:spacing w:after="120"/>
        <w:jc w:val="both"/>
        <w:rPr>
          <w:rFonts w:eastAsiaTheme="minorEastAsia"/>
          <w:b/>
          <w:lang w:val="en-NZ" w:eastAsia="zh-CN"/>
        </w:rPr>
      </w:pPr>
      <w:r w:rsidRPr="007300C1">
        <w:rPr>
          <w:rFonts w:eastAsiaTheme="minorEastAsia"/>
          <w:b/>
          <w:lang w:val="en-NZ" w:eastAsia="zh-CN"/>
        </w:rPr>
        <w:t>3.1.3 Japan</w:t>
      </w:r>
    </w:p>
    <w:p w:rsidR="00585F3C" w:rsidRDefault="008B4EF9" w:rsidP="00B64A60">
      <w:pPr>
        <w:jc w:val="both"/>
        <w:rPr>
          <w:rFonts w:eastAsiaTheme="minorEastAsia"/>
          <w:lang w:val="en-NZ" w:eastAsia="zh-CN"/>
        </w:rPr>
      </w:pPr>
      <w:r w:rsidRPr="00B219E0">
        <w:rPr>
          <w:lang w:eastAsia="ja-JP"/>
        </w:rPr>
        <w:t>Japan is of the view that unnecessary constraint should not be imposed on administrations, satellite network operator and authorized earth stations</w:t>
      </w:r>
      <w:r w:rsidRPr="00B219E0">
        <w:t>.</w:t>
      </w:r>
    </w:p>
    <w:p w:rsidR="008B4EF9" w:rsidRDefault="008B4EF9" w:rsidP="00B64A60">
      <w:pPr>
        <w:jc w:val="both"/>
        <w:rPr>
          <w:rFonts w:eastAsiaTheme="minorEastAsia"/>
          <w:lang w:val="en-NZ" w:eastAsia="zh-CN"/>
        </w:rPr>
      </w:pPr>
    </w:p>
    <w:p w:rsidR="002D5D0E" w:rsidRPr="00AE1D9B" w:rsidRDefault="002D5D0E" w:rsidP="002D5D0E">
      <w:pPr>
        <w:pStyle w:val="ListParagraph"/>
        <w:numPr>
          <w:ilvl w:val="1"/>
          <w:numId w:val="22"/>
        </w:numPr>
        <w:spacing w:after="120"/>
        <w:jc w:val="both"/>
        <w:rPr>
          <w:b/>
          <w:lang w:val="en-NZ"/>
        </w:rPr>
      </w:pPr>
      <w:r w:rsidRPr="00AE1D9B">
        <w:rPr>
          <w:b/>
          <w:lang w:val="en-NZ"/>
        </w:rPr>
        <w:tab/>
      </w:r>
      <w:r w:rsidRPr="00AE1D9B">
        <w:rPr>
          <w:b/>
          <w:lang w:val="en-NZ" w:eastAsia="ko-KR"/>
        </w:rPr>
        <w:t>Key</w:t>
      </w:r>
      <w:r w:rsidRPr="00AE1D9B">
        <w:rPr>
          <w:b/>
          <w:lang w:val="en-NZ"/>
        </w:rPr>
        <w:t xml:space="preserve"> </w:t>
      </w:r>
      <w:r w:rsidRPr="00AE1D9B">
        <w:rPr>
          <w:b/>
          <w:lang w:val="en-NZ" w:eastAsia="ko-KR"/>
        </w:rPr>
        <w:t>points</w:t>
      </w:r>
      <w:r w:rsidRPr="00AE1D9B">
        <w:rPr>
          <w:b/>
          <w:lang w:val="en-NZ"/>
        </w:rPr>
        <w:t xml:space="preserve"> raised during the meeting</w:t>
      </w:r>
    </w:p>
    <w:p w:rsidR="002D5D0E" w:rsidRDefault="002D5D0E" w:rsidP="002D5D0E">
      <w:pPr>
        <w:jc w:val="both"/>
        <w:rPr>
          <w:rFonts w:eastAsiaTheme="minorEastAsia"/>
          <w:lang w:val="en-NZ" w:eastAsia="zh-CN"/>
        </w:rPr>
      </w:pPr>
      <w:r>
        <w:rPr>
          <w:rFonts w:eastAsiaTheme="minorEastAsia"/>
          <w:lang w:val="en-NZ" w:eastAsia="zh-CN"/>
        </w:rPr>
        <w:t>None.</w:t>
      </w:r>
      <w:bookmarkStart w:id="6" w:name="_GoBack"/>
      <w:bookmarkEnd w:id="6"/>
    </w:p>
    <w:p w:rsidR="002D5D0E" w:rsidRPr="008B4EF9" w:rsidRDefault="002D5D0E" w:rsidP="00B64A60">
      <w:pPr>
        <w:jc w:val="both"/>
        <w:rPr>
          <w:rFonts w:eastAsiaTheme="minorEastAsia"/>
          <w:lang w:val="en-NZ" w:eastAsia="zh-CN"/>
        </w:rPr>
      </w:pPr>
    </w:p>
    <w:p w:rsidR="00B64A60" w:rsidRPr="00B219E0" w:rsidRDefault="00B64A60" w:rsidP="00B64A60">
      <w:pPr>
        <w:spacing w:after="120"/>
        <w:jc w:val="both"/>
        <w:rPr>
          <w:rFonts w:eastAsiaTheme="minorEastAsia"/>
          <w:b/>
          <w:lang w:val="en-NZ" w:eastAsia="zh-CN"/>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p>
    <w:p w:rsidR="00472903" w:rsidRPr="00472903" w:rsidRDefault="0030690F" w:rsidP="00EE027C">
      <w:pPr>
        <w:jc w:val="both"/>
        <w:rPr>
          <w:rFonts w:eastAsiaTheme="minorEastAsia"/>
          <w:lang w:eastAsia="zh-CN"/>
        </w:rPr>
      </w:pPr>
      <w:r w:rsidRPr="007A515A">
        <w:t xml:space="preserve">APT </w:t>
      </w:r>
      <w:r w:rsidR="00EE027C">
        <w:rPr>
          <w:rFonts w:eastAsiaTheme="minorEastAsia"/>
          <w:lang w:eastAsia="zh-CN"/>
        </w:rPr>
        <w:t>M</w:t>
      </w:r>
      <w:r w:rsidR="007A515A" w:rsidRPr="007A515A">
        <w:rPr>
          <w:rFonts w:eastAsiaTheme="minorEastAsia" w:hint="eastAsia"/>
          <w:lang w:eastAsia="zh-CN"/>
        </w:rPr>
        <w:t xml:space="preserve">embers </w:t>
      </w:r>
      <w:r w:rsidR="007A515A">
        <w:rPr>
          <w:rFonts w:eastAsiaTheme="minorEastAsia" w:hint="eastAsia"/>
          <w:lang w:eastAsia="zh-CN"/>
        </w:rPr>
        <w:t>are</w:t>
      </w:r>
      <w:r w:rsidRPr="007A515A">
        <w:t xml:space="preserve"> of the view that earth station licensing and related issues are national matters and no changes to the Radio Regulations are necessary as Article 18 sufficiently addresses the required international regulatory measures.</w:t>
      </w:r>
      <w:r w:rsidR="004B427A" w:rsidRPr="007A515A">
        <w:rPr>
          <w:rFonts w:hint="eastAsia"/>
        </w:rPr>
        <w:t xml:space="preserve"> </w:t>
      </w:r>
    </w:p>
    <w:p w:rsidR="00BB7C9E" w:rsidRPr="00B219E0" w:rsidRDefault="00BB7C9E" w:rsidP="00B219E0">
      <w:pPr>
        <w:jc w:val="both"/>
        <w:rPr>
          <w:rFonts w:eastAsiaTheme="minorEastAsia"/>
          <w:lang w:eastAsia="zh-CN"/>
        </w:rPr>
      </w:pPr>
    </w:p>
    <w:p w:rsidR="00BB7C9E" w:rsidRPr="00472903" w:rsidRDefault="00BB7C9E" w:rsidP="00BB7C9E">
      <w:pPr>
        <w:spacing w:after="120"/>
        <w:jc w:val="both"/>
        <w:rPr>
          <w:rFonts w:eastAsiaTheme="minorEastAsia"/>
          <w:b/>
          <w:lang w:val="en-NZ" w:eastAsia="zh-CN"/>
        </w:rPr>
      </w:pPr>
      <w:r>
        <w:rPr>
          <w:b/>
          <w:lang w:val="en-NZ" w:eastAsia="ko-KR"/>
        </w:rPr>
        <w:t>5.</w:t>
      </w:r>
      <w:r w:rsidRPr="008D046E">
        <w:rPr>
          <w:b/>
          <w:lang w:val="en-NZ" w:eastAsia="ko-KR"/>
        </w:rPr>
        <w:t xml:space="preserve"> </w:t>
      </w:r>
      <w:r w:rsidRPr="008D046E">
        <w:rPr>
          <w:b/>
          <w:lang w:val="en-NZ" w:eastAsia="ko-KR"/>
        </w:rPr>
        <w:tab/>
        <w:t>Other View</w:t>
      </w:r>
    </w:p>
    <w:p w:rsidR="003532C5" w:rsidRDefault="00472903">
      <w:pPr>
        <w:jc w:val="both"/>
        <w:rPr>
          <w:rFonts w:eastAsiaTheme="minorEastAsia"/>
          <w:lang w:eastAsia="zh-CN"/>
        </w:rPr>
      </w:pPr>
      <w:r w:rsidRPr="00FA72E6">
        <w:rPr>
          <w:rFonts w:eastAsiaTheme="minorEastAsia" w:hint="eastAsia"/>
          <w:lang w:eastAsia="zh-CN"/>
        </w:rPr>
        <w:t xml:space="preserve">Some APT </w:t>
      </w:r>
      <w:r w:rsidR="00EE027C">
        <w:rPr>
          <w:rFonts w:eastAsiaTheme="minorEastAsia"/>
          <w:lang w:eastAsia="zh-CN"/>
        </w:rPr>
        <w:t>M</w:t>
      </w:r>
      <w:r w:rsidRPr="00FA72E6">
        <w:rPr>
          <w:rFonts w:eastAsiaTheme="minorEastAsia" w:hint="eastAsia"/>
          <w:lang w:eastAsia="zh-CN"/>
        </w:rPr>
        <w:t xml:space="preserve">embers are of the view that it is still </w:t>
      </w:r>
      <w:r w:rsidRPr="00FA72E6">
        <w:rPr>
          <w:rFonts w:eastAsiaTheme="minorEastAsia"/>
          <w:lang w:eastAsia="zh-CN"/>
        </w:rPr>
        <w:t>premature</w:t>
      </w:r>
      <w:r w:rsidRPr="00FA72E6">
        <w:rPr>
          <w:rFonts w:eastAsiaTheme="minorEastAsia" w:hint="eastAsia"/>
          <w:lang w:eastAsia="zh-CN"/>
        </w:rPr>
        <w:t xml:space="preserve"> to rule out the possibility </w:t>
      </w:r>
      <w:r>
        <w:rPr>
          <w:rFonts w:eastAsiaTheme="minorEastAsia" w:hint="eastAsia"/>
          <w:lang w:eastAsia="zh-CN"/>
        </w:rPr>
        <w:t>of regulatory changes, noting the significant diver</w:t>
      </w:r>
      <w:r w:rsidR="00F7483D">
        <w:rPr>
          <w:rFonts w:eastAsiaTheme="minorEastAsia" w:hint="eastAsia"/>
          <w:lang w:eastAsia="zh-CN"/>
        </w:rPr>
        <w:t>gent</w:t>
      </w:r>
      <w:r>
        <w:rPr>
          <w:rFonts w:eastAsiaTheme="minorEastAsia" w:hint="eastAsia"/>
          <w:lang w:eastAsia="zh-CN"/>
        </w:rPr>
        <w:t xml:space="preserve"> position</w:t>
      </w:r>
      <w:r w:rsidR="00F7483D">
        <w:rPr>
          <w:rFonts w:eastAsiaTheme="minorEastAsia" w:hint="eastAsia"/>
          <w:lang w:eastAsia="zh-CN"/>
        </w:rPr>
        <w:t>s</w:t>
      </w:r>
      <w:r>
        <w:rPr>
          <w:rFonts w:eastAsiaTheme="minorEastAsia" w:hint="eastAsia"/>
          <w:lang w:eastAsia="zh-CN"/>
        </w:rPr>
        <w:t xml:space="preserve"> of administrations in Working Party 1B.</w:t>
      </w:r>
    </w:p>
    <w:p w:rsidR="00472903" w:rsidRPr="00B219E0" w:rsidRDefault="00472903" w:rsidP="00BB7C9E">
      <w:pPr>
        <w:spacing w:after="120"/>
        <w:jc w:val="both"/>
        <w:rPr>
          <w:rFonts w:eastAsiaTheme="minorEastAsia"/>
          <w:b/>
          <w:lang w:eastAsia="zh-CN"/>
        </w:rPr>
      </w:pPr>
    </w:p>
    <w:p w:rsidR="00BB7C9E" w:rsidRPr="008B4EF9" w:rsidRDefault="00BB7C9E" w:rsidP="008B4EF9">
      <w:pPr>
        <w:spacing w:after="120"/>
        <w:jc w:val="both"/>
        <w:rPr>
          <w:b/>
          <w:lang w:val="en-NZ" w:eastAsia="ko-KR"/>
        </w:rPr>
      </w:pPr>
      <w:r>
        <w:rPr>
          <w:b/>
          <w:lang w:val="en-NZ" w:eastAsia="ko-KR"/>
        </w:rPr>
        <w:t xml:space="preserve">6. </w:t>
      </w:r>
      <w:r>
        <w:rPr>
          <w:b/>
          <w:lang w:val="en-NZ" w:eastAsia="ko-KR"/>
        </w:rPr>
        <w:tab/>
        <w:t>Views from Other Organisations</w:t>
      </w:r>
    </w:p>
    <w:p w:rsidR="008B4EF9" w:rsidRPr="00B219E0" w:rsidRDefault="008B4EF9" w:rsidP="00C13FC6">
      <w:pPr>
        <w:spacing w:after="120"/>
        <w:jc w:val="both"/>
        <w:rPr>
          <w:rFonts w:eastAsiaTheme="minorEastAsia"/>
          <w:b/>
          <w:lang w:val="en-NZ" w:eastAsia="zh-CN"/>
        </w:rPr>
      </w:pPr>
      <w:r w:rsidRPr="00B219E0">
        <w:rPr>
          <w:b/>
          <w:lang w:val="en-NZ" w:eastAsia="ko-KR"/>
        </w:rPr>
        <w:t xml:space="preserve">6.1 </w:t>
      </w:r>
      <w:r w:rsidRPr="00B219E0">
        <w:rPr>
          <w:b/>
        </w:rPr>
        <w:t>ASMG</w:t>
      </w:r>
    </w:p>
    <w:p w:rsidR="00C13FC6" w:rsidRPr="005535B3" w:rsidRDefault="00C13FC6" w:rsidP="00B219E0">
      <w:pPr>
        <w:tabs>
          <w:tab w:val="num" w:pos="1440"/>
        </w:tabs>
        <w:jc w:val="both"/>
      </w:pPr>
      <w:r w:rsidRPr="005535B3">
        <w:t xml:space="preserve">Support the current studies in order to assist administrations to manage the unauthorized operation of earth station terminals. </w:t>
      </w:r>
    </w:p>
    <w:p w:rsidR="00C13FC6" w:rsidRPr="00C13FC6" w:rsidRDefault="00C13FC6">
      <w:pPr>
        <w:spacing w:after="120"/>
        <w:jc w:val="both"/>
        <w:rPr>
          <w:rFonts w:eastAsiaTheme="minorEastAsia"/>
          <w:b/>
          <w:lang w:val="en-NZ" w:eastAsia="zh-CN"/>
        </w:rPr>
      </w:pPr>
      <w:r w:rsidRPr="005535B3">
        <w:t>Support introducing any possible additional measures in order to limit uplink transmissions of terminals to those authorized terminals.</w:t>
      </w:r>
    </w:p>
    <w:p w:rsidR="00F7483D" w:rsidRPr="00346BB3" w:rsidRDefault="00F7483D" w:rsidP="00F7483D">
      <w:pPr>
        <w:spacing w:after="120"/>
        <w:jc w:val="both"/>
        <w:rPr>
          <w:b/>
          <w:lang w:val="en-NZ" w:eastAsia="ko-KR"/>
        </w:rPr>
      </w:pPr>
      <w:r w:rsidRPr="00346BB3">
        <w:rPr>
          <w:b/>
          <w:lang w:val="en-NZ" w:eastAsia="ko-KR"/>
        </w:rPr>
        <w:t>6.</w:t>
      </w:r>
      <w:r w:rsidRPr="000226E0">
        <w:rPr>
          <w:b/>
          <w:lang w:val="en-NZ" w:eastAsia="ko-KR"/>
        </w:rPr>
        <w:t>2</w:t>
      </w:r>
      <w:r w:rsidRPr="00346BB3">
        <w:rPr>
          <w:b/>
          <w:lang w:val="en-NZ" w:eastAsia="ko-KR"/>
        </w:rPr>
        <w:t xml:space="preserve"> ATU</w:t>
      </w:r>
    </w:p>
    <w:p w:rsidR="00F7483D" w:rsidRPr="00FD2541" w:rsidRDefault="00F7483D" w:rsidP="00F7483D">
      <w:pPr>
        <w:jc w:val="both"/>
        <w:rPr>
          <w:lang w:val="ru-RU"/>
        </w:rPr>
      </w:pPr>
      <w:r w:rsidRPr="00FD2541">
        <w:rPr>
          <w:lang w:val="ru-RU"/>
        </w:rPr>
        <w:t>APM19-1 noted that the development in WP1B regarding this agenda item and endorsed the methodology developed for concluding this agenda.</w:t>
      </w:r>
    </w:p>
    <w:p w:rsidR="00F7483D" w:rsidRPr="008B4EF9" w:rsidRDefault="00F7483D" w:rsidP="00F7483D">
      <w:pPr>
        <w:spacing w:after="120"/>
        <w:jc w:val="both"/>
        <w:rPr>
          <w:rFonts w:eastAsiaTheme="minorEastAsia"/>
          <w:b/>
          <w:lang w:val="en-NZ" w:eastAsia="zh-CN"/>
        </w:rPr>
      </w:pPr>
      <w:r w:rsidRPr="00FD2541">
        <w:rPr>
          <w:lang w:val="ru-RU"/>
        </w:rPr>
        <w:t>APM19-1 invited the ATU region to support studies underway on this agenda.</w:t>
      </w:r>
    </w:p>
    <w:p w:rsidR="00182411" w:rsidRDefault="00182411">
      <w:pPr>
        <w:rPr>
          <w:b/>
          <w:lang w:val="en-NZ" w:eastAsia="ko-KR"/>
        </w:rPr>
      </w:pPr>
      <w:r>
        <w:rPr>
          <w:b/>
          <w:lang w:val="en-NZ" w:eastAsia="ko-KR"/>
        </w:rPr>
        <w:br w:type="page"/>
      </w:r>
    </w:p>
    <w:p w:rsidR="00624113" w:rsidRPr="00346BB3" w:rsidRDefault="00624113" w:rsidP="00624113">
      <w:pPr>
        <w:spacing w:after="120"/>
        <w:jc w:val="both"/>
        <w:rPr>
          <w:b/>
          <w:lang w:val="en-NZ" w:eastAsia="ko-KR"/>
        </w:rPr>
      </w:pPr>
      <w:r w:rsidRPr="00346BB3">
        <w:rPr>
          <w:b/>
          <w:lang w:val="en-NZ" w:eastAsia="ko-KR"/>
        </w:rPr>
        <w:lastRenderedPageBreak/>
        <w:t>6</w:t>
      </w:r>
      <w:r w:rsidRPr="000226E0">
        <w:rPr>
          <w:rFonts w:hint="eastAsia"/>
          <w:b/>
          <w:lang w:val="en-NZ" w:eastAsia="ko-KR"/>
        </w:rPr>
        <w:t>.3</w:t>
      </w:r>
      <w:r w:rsidRPr="00346BB3">
        <w:rPr>
          <w:b/>
          <w:lang w:val="en-NZ" w:eastAsia="ko-KR"/>
        </w:rPr>
        <w:t xml:space="preserve"> CEPT</w:t>
      </w:r>
    </w:p>
    <w:p w:rsidR="00624113" w:rsidRPr="005535B3" w:rsidRDefault="00624113" w:rsidP="00624113">
      <w:pPr>
        <w:jc w:val="both"/>
      </w:pPr>
      <w:r w:rsidRPr="005535B3">
        <w:t>CEPT notes that this Agenda Item addresses the issue of enforcement of unauthorized ubiquitous FSS earth stations and not the issue of earth stations in motion (ESIM) which is covered by Agenda item 1.5.</w:t>
      </w:r>
    </w:p>
    <w:p w:rsidR="00624113" w:rsidRPr="00C13FC6" w:rsidRDefault="00624113" w:rsidP="00624113">
      <w:pPr>
        <w:jc w:val="both"/>
        <w:rPr>
          <w:rFonts w:eastAsiaTheme="minorEastAsia"/>
          <w:b/>
          <w:lang w:val="en-NZ" w:eastAsia="zh-CN"/>
        </w:rPr>
      </w:pPr>
      <w:r w:rsidRPr="005535B3">
        <w:rPr>
          <w:lang w:val="en-GB"/>
        </w:rPr>
        <w:t>CEPT does not see the need for any changes of the Radio Regulations. Furthermore, CEPT is of the view that this issue is already addressed in Article 18. CEPT supports possible ITU-R studies on best practices, related to national management of unauthorized operation of earth station terminals deployed within territory of concerned administration</w:t>
      </w:r>
      <w:r>
        <w:rPr>
          <w:rFonts w:eastAsiaTheme="minorEastAsia" w:hint="eastAsia"/>
          <w:lang w:val="en-GB" w:eastAsia="zh-CN"/>
        </w:rPr>
        <w:t>.</w:t>
      </w:r>
    </w:p>
    <w:p w:rsidR="00182411" w:rsidRDefault="00182411" w:rsidP="00F7483D">
      <w:pPr>
        <w:spacing w:after="120"/>
        <w:jc w:val="both"/>
        <w:rPr>
          <w:b/>
          <w:lang w:val="en-NZ" w:eastAsia="ko-KR"/>
        </w:rPr>
      </w:pPr>
    </w:p>
    <w:p w:rsidR="00F7483D" w:rsidRPr="00346BB3" w:rsidRDefault="008B4EF9" w:rsidP="00F7483D">
      <w:pPr>
        <w:spacing w:after="120"/>
        <w:jc w:val="both"/>
        <w:rPr>
          <w:b/>
          <w:lang w:val="en-NZ" w:eastAsia="ko-KR"/>
        </w:rPr>
      </w:pPr>
      <w:r w:rsidRPr="00346BB3">
        <w:rPr>
          <w:b/>
          <w:lang w:val="en-NZ" w:eastAsia="ko-KR"/>
        </w:rPr>
        <w:t>6.</w:t>
      </w:r>
      <w:r w:rsidR="00624113" w:rsidRPr="000226E0">
        <w:rPr>
          <w:rFonts w:hint="eastAsia"/>
          <w:b/>
          <w:lang w:val="en-NZ" w:eastAsia="ko-KR"/>
        </w:rPr>
        <w:t>4</w:t>
      </w:r>
      <w:r w:rsidR="00F7483D" w:rsidRPr="00346BB3">
        <w:rPr>
          <w:b/>
          <w:lang w:val="en-NZ" w:eastAsia="ko-KR"/>
        </w:rPr>
        <w:t xml:space="preserve"> CITEL </w:t>
      </w:r>
    </w:p>
    <w:p w:rsidR="00F7483D" w:rsidRDefault="00F7483D" w:rsidP="00F7483D">
      <w:pPr>
        <w:spacing w:after="120"/>
        <w:jc w:val="both"/>
        <w:rPr>
          <w:rFonts w:eastAsiaTheme="minorEastAsia"/>
          <w:lang w:eastAsia="zh-CN"/>
        </w:rPr>
      </w:pPr>
      <w:r>
        <w:rPr>
          <w:rFonts w:eastAsiaTheme="minorEastAsia" w:hint="eastAsia"/>
          <w:lang w:eastAsia="zh-CN"/>
        </w:rPr>
        <w:t>TBD.</w:t>
      </w:r>
    </w:p>
    <w:p w:rsidR="00182411" w:rsidRDefault="00182411" w:rsidP="008B4EF9">
      <w:pPr>
        <w:spacing w:after="120"/>
        <w:jc w:val="both"/>
        <w:rPr>
          <w:b/>
          <w:lang w:val="en-NZ" w:eastAsia="ko-KR"/>
        </w:rPr>
      </w:pPr>
    </w:p>
    <w:p w:rsidR="008B4EF9" w:rsidRPr="00346BB3" w:rsidRDefault="00C13FC6" w:rsidP="008B4EF9">
      <w:pPr>
        <w:spacing w:after="120"/>
        <w:jc w:val="both"/>
        <w:rPr>
          <w:b/>
          <w:lang w:val="en-NZ" w:eastAsia="ko-KR"/>
        </w:rPr>
      </w:pPr>
      <w:r w:rsidRPr="00346BB3">
        <w:rPr>
          <w:b/>
          <w:lang w:val="en-NZ" w:eastAsia="ko-KR"/>
        </w:rPr>
        <w:t>6.</w:t>
      </w:r>
      <w:r w:rsidR="00F7483D" w:rsidRPr="00B219E0">
        <w:rPr>
          <w:b/>
          <w:lang w:val="en-NZ" w:eastAsia="ko-KR"/>
        </w:rPr>
        <w:t xml:space="preserve">5 </w:t>
      </w:r>
      <w:r w:rsidRPr="00346BB3">
        <w:rPr>
          <w:b/>
          <w:lang w:val="en-NZ" w:eastAsia="ko-KR"/>
        </w:rPr>
        <w:t>RCC</w:t>
      </w:r>
      <w:r w:rsidR="008B4EF9" w:rsidRPr="00346BB3">
        <w:rPr>
          <w:b/>
          <w:lang w:val="en-NZ" w:eastAsia="ko-KR"/>
        </w:rPr>
        <w:t xml:space="preserve"> </w:t>
      </w:r>
    </w:p>
    <w:p w:rsidR="00C13FC6" w:rsidRDefault="00C13FC6" w:rsidP="00B219E0">
      <w:pPr>
        <w:jc w:val="both"/>
      </w:pPr>
      <w:r>
        <w:t>S</w:t>
      </w:r>
      <w:r>
        <w:rPr>
          <w:lang w:val="ru-RU"/>
        </w:rPr>
        <w:t>upport the development and inclusion into the Radio Regulations additional provisions binding the Administrations to ensure during licensing the implementation of appropriate technical measures in the satellite networks, such as measures that are specified in Resolution 156, that would facilitate elimination of unauthorized operation of ES terminals in global/regional satellite networks, when these terminals are outside the territory of States which administrations granted the appropriate authorization (the license).</w:t>
      </w:r>
    </w:p>
    <w:p w:rsidR="008B4EF9" w:rsidRPr="008B4EF9" w:rsidRDefault="00C13FC6">
      <w:pPr>
        <w:spacing w:after="120"/>
        <w:jc w:val="both"/>
        <w:rPr>
          <w:rFonts w:eastAsiaTheme="minorEastAsia"/>
          <w:b/>
          <w:lang w:val="en-NZ" w:eastAsia="zh-CN"/>
        </w:rPr>
      </w:pPr>
      <w:r>
        <w:rPr>
          <w:lang w:val="ru-RU"/>
        </w:rPr>
        <w:t>The issue of preventing the unauthorized use of ES terminals, including ESIM terminals shall be considered both under the WRC-19 item 9.1 issue 9.1.7, which is a general issue covering all frequency bands and all types of ubiquitous FSS earth stations, and WRC-19 item 1.5 relating only to a single (Ka) band.</w:t>
      </w:r>
    </w:p>
    <w:p w:rsidR="0030690F" w:rsidRDefault="0030690F" w:rsidP="00BB7C9E">
      <w:pPr>
        <w:rPr>
          <w:rFonts w:eastAsiaTheme="minorEastAsia"/>
          <w:lang w:val="en-NZ" w:eastAsia="zh-CN"/>
        </w:rPr>
      </w:pPr>
    </w:p>
    <w:p w:rsidR="00BB7C9E" w:rsidRPr="008D046E" w:rsidRDefault="00BB7C9E" w:rsidP="00BB7C9E">
      <w:pPr>
        <w:spacing w:after="120"/>
        <w:jc w:val="both"/>
        <w:rPr>
          <w:b/>
          <w:lang w:val="en-NZ" w:eastAsia="ko-KR"/>
        </w:rPr>
      </w:pPr>
      <w:r>
        <w:rPr>
          <w:b/>
          <w:lang w:val="en-NZ" w:eastAsia="ko-KR"/>
        </w:rPr>
        <w:t>7.</w:t>
      </w:r>
      <w:r w:rsidRPr="008D046E">
        <w:rPr>
          <w:b/>
          <w:lang w:val="en-NZ" w:eastAsia="ko-KR"/>
        </w:rPr>
        <w:t xml:space="preserve"> </w:t>
      </w:r>
      <w:r w:rsidRPr="008D046E">
        <w:rPr>
          <w:b/>
          <w:lang w:val="en-NZ" w:eastAsia="ko-KR"/>
        </w:rPr>
        <w:tab/>
        <w:t xml:space="preserve">Issues for </w:t>
      </w:r>
      <w:r>
        <w:rPr>
          <w:b/>
          <w:lang w:val="en-NZ" w:eastAsia="ko-KR"/>
        </w:rPr>
        <w:t>C</w:t>
      </w:r>
      <w:r w:rsidRPr="008D046E">
        <w:rPr>
          <w:b/>
          <w:lang w:val="en-NZ" w:eastAsia="ko-KR"/>
        </w:rPr>
        <w:t xml:space="preserve">onsideration at </w:t>
      </w:r>
      <w:r>
        <w:rPr>
          <w:b/>
          <w:lang w:val="en-NZ" w:eastAsia="ko-KR"/>
        </w:rPr>
        <w:t>N</w:t>
      </w:r>
      <w:r w:rsidRPr="008D046E">
        <w:rPr>
          <w:b/>
          <w:lang w:val="en-NZ" w:eastAsia="ko-KR"/>
        </w:rPr>
        <w:t xml:space="preserve">ext APG </w:t>
      </w:r>
      <w:r>
        <w:rPr>
          <w:b/>
          <w:lang w:val="en-NZ" w:eastAsia="ko-KR"/>
        </w:rPr>
        <w:t>M</w:t>
      </w:r>
      <w:r w:rsidRPr="008D046E">
        <w:rPr>
          <w:b/>
          <w:lang w:val="en-NZ" w:eastAsia="ko-KR"/>
        </w:rPr>
        <w:t>eeting</w:t>
      </w:r>
    </w:p>
    <w:p w:rsidR="00654896" w:rsidRPr="00B219E0" w:rsidRDefault="00472903" w:rsidP="00B64A60">
      <w:pPr>
        <w:rPr>
          <w:lang w:val="en-GB"/>
        </w:rPr>
      </w:pPr>
      <w:r w:rsidRPr="00B219E0">
        <w:rPr>
          <w:lang w:val="en-GB"/>
        </w:rPr>
        <w:t>None.</w:t>
      </w:r>
    </w:p>
    <w:p w:rsidR="00B64A60" w:rsidRPr="00710333" w:rsidRDefault="00B64A60" w:rsidP="00B64A60">
      <w:pPr>
        <w:jc w:val="center"/>
        <w:rPr>
          <w:snapToGrid w:val="0"/>
          <w:lang w:val="en-NZ"/>
        </w:rPr>
      </w:pPr>
      <w:r w:rsidRPr="00710333">
        <w:rPr>
          <w:lang w:val="en-NZ"/>
        </w:rPr>
        <w:t>____________</w:t>
      </w:r>
    </w:p>
    <w:p w:rsidR="00930E64" w:rsidRDefault="00930E64" w:rsidP="00D13D9D">
      <w:pPr>
        <w:jc w:val="both"/>
        <w:rPr>
          <w:lang w:val="en-NZ"/>
        </w:rPr>
      </w:pPr>
    </w:p>
    <w:p w:rsidR="005207B7" w:rsidRPr="007673CA" w:rsidRDefault="005207B7" w:rsidP="00D13D9D">
      <w:pPr>
        <w:jc w:val="both"/>
        <w:rPr>
          <w:lang w:val="en-NZ"/>
        </w:rPr>
      </w:pPr>
    </w:p>
    <w:sectPr w:rsidR="005207B7" w:rsidRPr="007673CA" w:rsidSect="00DB0A68">
      <w:headerReference w:type="default" r:id="rId12"/>
      <w:footerReference w:type="even" r:id="rId13"/>
      <w:footerReference w:type="default" r:id="rId14"/>
      <w:footerReference w:type="first" r:id="rId15"/>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3BB" w:rsidRDefault="008203BB">
      <w:r>
        <w:separator/>
      </w:r>
    </w:p>
  </w:endnote>
  <w:endnote w:type="continuationSeparator" w:id="0">
    <w:p w:rsidR="008203BB" w:rsidRDefault="0082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03" w:rsidRDefault="00965D1F" w:rsidP="002C07DA">
    <w:pPr>
      <w:pStyle w:val="Footer"/>
      <w:framePr w:wrap="around" w:vAnchor="text" w:hAnchor="margin" w:xAlign="right" w:y="1"/>
      <w:rPr>
        <w:rStyle w:val="PageNumber"/>
      </w:rPr>
    </w:pPr>
    <w:r>
      <w:rPr>
        <w:rStyle w:val="PageNumber"/>
      </w:rPr>
      <w:fldChar w:fldCharType="begin"/>
    </w:r>
    <w:r w:rsidR="00472903">
      <w:rPr>
        <w:rStyle w:val="PageNumber"/>
      </w:rPr>
      <w:instrText xml:space="preserve">PAGE  </w:instrText>
    </w:r>
    <w:r>
      <w:rPr>
        <w:rStyle w:val="PageNumber"/>
      </w:rPr>
      <w:fldChar w:fldCharType="end"/>
    </w:r>
  </w:p>
  <w:p w:rsidR="00472903" w:rsidRDefault="00472903"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03" w:rsidRDefault="006B49DF" w:rsidP="006B49DF">
    <w:pPr>
      <w:pStyle w:val="Footer"/>
      <w:tabs>
        <w:tab w:val="left" w:pos="1050"/>
        <w:tab w:val="right" w:pos="8957"/>
      </w:tabs>
      <w:ind w:right="360"/>
    </w:pPr>
    <w:r>
      <w:rPr>
        <w:rFonts w:hint="eastAsia"/>
        <w:lang w:eastAsia="ko-KR"/>
      </w:rPr>
      <w:t>A</w:t>
    </w:r>
    <w:r>
      <w:rPr>
        <w:lang w:eastAsia="ko-KR"/>
      </w:rPr>
      <w:t>PG19-2/OUT</w:t>
    </w:r>
    <w:r>
      <w:rPr>
        <w:rFonts w:asciiTheme="minorEastAsia" w:eastAsiaTheme="minorEastAsia" w:hAnsiTheme="minorEastAsia" w:hint="eastAsia"/>
        <w:lang w:eastAsia="zh-CN"/>
      </w:rPr>
      <w:t>-</w:t>
    </w:r>
    <w:r>
      <w:rPr>
        <w:rFonts w:asciiTheme="minorEastAsia" w:eastAsiaTheme="minorEastAsia" w:hAnsiTheme="minorEastAsia"/>
        <w:lang w:eastAsia="zh-CN"/>
      </w:rPr>
      <w:t>13</w:t>
    </w:r>
    <w:r>
      <w:rPr>
        <w:rStyle w:val="PageNumber"/>
      </w:rPr>
      <w:tab/>
    </w:r>
    <w:r>
      <w:rPr>
        <w:rStyle w:val="PageNumber"/>
      </w:rPr>
      <w:tab/>
    </w:r>
    <w:r w:rsidR="00472903" w:rsidRPr="002C7EA9">
      <w:rPr>
        <w:rStyle w:val="PageNumber"/>
      </w:rPr>
      <w:t xml:space="preserve">Page </w:t>
    </w:r>
    <w:r w:rsidR="00965D1F" w:rsidRPr="002C7EA9">
      <w:rPr>
        <w:rStyle w:val="PageNumber"/>
      </w:rPr>
      <w:fldChar w:fldCharType="begin"/>
    </w:r>
    <w:r w:rsidR="00472903" w:rsidRPr="002C7EA9">
      <w:rPr>
        <w:rStyle w:val="PageNumber"/>
      </w:rPr>
      <w:instrText xml:space="preserve"> PAGE </w:instrText>
    </w:r>
    <w:r w:rsidR="00965D1F" w:rsidRPr="002C7EA9">
      <w:rPr>
        <w:rStyle w:val="PageNumber"/>
      </w:rPr>
      <w:fldChar w:fldCharType="separate"/>
    </w:r>
    <w:r w:rsidR="002D5D0E">
      <w:rPr>
        <w:rStyle w:val="PageNumber"/>
        <w:noProof/>
      </w:rPr>
      <w:t>3</w:t>
    </w:r>
    <w:r w:rsidR="00965D1F" w:rsidRPr="002C7EA9">
      <w:rPr>
        <w:rStyle w:val="PageNumber"/>
      </w:rPr>
      <w:fldChar w:fldCharType="end"/>
    </w:r>
    <w:r w:rsidR="00472903" w:rsidRPr="002C7EA9">
      <w:rPr>
        <w:rStyle w:val="PageNumber"/>
      </w:rPr>
      <w:t xml:space="preserve"> of </w:t>
    </w:r>
    <w:r w:rsidR="00965D1F" w:rsidRPr="002C7EA9">
      <w:rPr>
        <w:rStyle w:val="PageNumber"/>
      </w:rPr>
      <w:fldChar w:fldCharType="begin"/>
    </w:r>
    <w:r w:rsidR="00472903" w:rsidRPr="002C7EA9">
      <w:rPr>
        <w:rStyle w:val="PageNumber"/>
      </w:rPr>
      <w:instrText xml:space="preserve"> NUMPAGES </w:instrText>
    </w:r>
    <w:r w:rsidR="00965D1F" w:rsidRPr="002C7EA9">
      <w:rPr>
        <w:rStyle w:val="PageNumber"/>
      </w:rPr>
      <w:fldChar w:fldCharType="separate"/>
    </w:r>
    <w:r w:rsidR="002D5D0E">
      <w:rPr>
        <w:rStyle w:val="PageNumber"/>
        <w:noProof/>
      </w:rPr>
      <w:t>3</w:t>
    </w:r>
    <w:r w:rsidR="00965D1F"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695D18">
      <w:trPr>
        <w:cantSplit/>
        <w:trHeight w:val="204"/>
        <w:jc w:val="center"/>
      </w:trPr>
      <w:tc>
        <w:tcPr>
          <w:tcW w:w="1617" w:type="dxa"/>
          <w:tcBorders>
            <w:top w:val="single" w:sz="12" w:space="0" w:color="auto"/>
          </w:tcBorders>
        </w:tcPr>
        <w:p w:rsidR="00695D18" w:rsidRDefault="00695D18">
          <w:pPr>
            <w:tabs>
              <w:tab w:val="left" w:pos="1394"/>
            </w:tabs>
            <w:rPr>
              <w:bCs/>
            </w:rPr>
          </w:pPr>
          <w:r>
            <w:rPr>
              <w:rFonts w:eastAsia="MS Mincho"/>
              <w:bCs/>
              <w:lang w:eastAsia="ja-JP"/>
            </w:rPr>
            <w:t>Contact:</w:t>
          </w:r>
        </w:p>
      </w:tc>
      <w:tc>
        <w:tcPr>
          <w:tcW w:w="4394" w:type="dxa"/>
          <w:tcBorders>
            <w:top w:val="single" w:sz="12" w:space="0" w:color="auto"/>
          </w:tcBorders>
        </w:tcPr>
        <w:p w:rsidR="00695D18" w:rsidRDefault="00695D18">
          <w:pPr>
            <w:rPr>
              <w:rFonts w:eastAsia="MS Mincho"/>
              <w:lang w:eastAsia="ja-JP"/>
            </w:rPr>
          </w:pPr>
          <w:r>
            <w:rPr>
              <w:rFonts w:eastAsia="MS Mincho"/>
              <w:lang w:eastAsia="ja-JP"/>
            </w:rPr>
            <w:t>Taghi SHAFIEE</w:t>
          </w:r>
        </w:p>
        <w:p w:rsidR="00695D18" w:rsidRDefault="00695D18">
          <w:pPr>
            <w:rPr>
              <w:rFonts w:eastAsia="MS Mincho"/>
              <w:lang w:eastAsia="ja-JP"/>
            </w:rPr>
          </w:pPr>
          <w:r>
            <w:rPr>
              <w:rFonts w:eastAsia="MS Mincho"/>
              <w:lang w:eastAsia="ja-JP"/>
            </w:rPr>
            <w:t>Chairman, WP6</w:t>
          </w:r>
        </w:p>
      </w:tc>
      <w:tc>
        <w:tcPr>
          <w:tcW w:w="3912" w:type="dxa"/>
          <w:tcBorders>
            <w:top w:val="single" w:sz="12" w:space="0" w:color="auto"/>
          </w:tcBorders>
        </w:tcPr>
        <w:p w:rsidR="00695D18" w:rsidRDefault="00695D18">
          <w:pPr>
            <w:rPr>
              <w:rFonts w:eastAsia="MS Mincho"/>
              <w:lang w:eastAsia="ja-JP"/>
            </w:rPr>
          </w:pPr>
          <w:r>
            <w:rPr>
              <w:rFonts w:eastAsia="MS Mincho"/>
              <w:lang w:eastAsia="ja-JP"/>
            </w:rPr>
            <w:t xml:space="preserve">Email: </w:t>
          </w:r>
          <w:hyperlink r:id="rId1" w:history="1">
            <w:r>
              <w:rPr>
                <w:rStyle w:val="Hyperlink"/>
                <w:rFonts w:eastAsia="MS Mincho"/>
                <w:lang w:eastAsia="ja-JP"/>
              </w:rPr>
              <w:t>shafiee@cra.ir</w:t>
            </w:r>
          </w:hyperlink>
        </w:p>
        <w:p w:rsidR="00695D18" w:rsidRDefault="00695D18">
          <w:pPr>
            <w:rPr>
              <w:lang w:eastAsia="ja-JP"/>
            </w:rPr>
          </w:pPr>
          <w:r>
            <w:rPr>
              <w:rFonts w:eastAsia="MS Mincho"/>
              <w:lang w:eastAsia="ja-JP"/>
            </w:rPr>
            <w:t>Iran (Islamic Republic of)</w:t>
          </w:r>
        </w:p>
      </w:tc>
    </w:tr>
  </w:tbl>
  <w:p w:rsidR="00472903" w:rsidRPr="008C5D03" w:rsidRDefault="00472903" w:rsidP="00695D18">
    <w:pPr>
      <w:pStyle w:val="Footer"/>
      <w:rPr>
        <w:rFonts w:eastAsiaTheme="minorEastAsia"/>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3BB" w:rsidRDefault="008203BB">
      <w:r>
        <w:separator/>
      </w:r>
    </w:p>
  </w:footnote>
  <w:footnote w:type="continuationSeparator" w:id="0">
    <w:p w:rsidR="008203BB" w:rsidRDefault="00820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903" w:rsidRDefault="00472903" w:rsidP="00182411">
    <w:pPr>
      <w:pStyle w:val="Header"/>
      <w:tabs>
        <w:tab w:val="center" w:pos="4763"/>
        <w:tab w:val="left" w:pos="5820"/>
      </w:tabs>
      <w:rPr>
        <w:lang w:eastAsia="ko-KR"/>
      </w:rPr>
    </w:pPr>
    <w:r>
      <w:rPr>
        <w:lang w:eastAsia="ko-KR"/>
      </w:rPr>
      <w:tab/>
    </w:r>
  </w:p>
  <w:p w:rsidR="00472903" w:rsidRDefault="00472903"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F96786B"/>
    <w:multiLevelType w:val="multilevel"/>
    <w:tmpl w:val="CADAB6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0D27DD"/>
    <w:multiLevelType w:val="multilevel"/>
    <w:tmpl w:val="630D27D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0"/>
  </w:num>
  <w:num w:numId="2">
    <w:abstractNumId w:val="6"/>
  </w:num>
  <w:num w:numId="3">
    <w:abstractNumId w:val="5"/>
  </w:num>
  <w:num w:numId="4">
    <w:abstractNumId w:val="17"/>
  </w:num>
  <w:num w:numId="5">
    <w:abstractNumId w:val="9"/>
  </w:num>
  <w:num w:numId="6">
    <w:abstractNumId w:val="11"/>
  </w:num>
  <w:num w:numId="7">
    <w:abstractNumId w:val="2"/>
  </w:num>
  <w:num w:numId="8">
    <w:abstractNumId w:val="1"/>
  </w:num>
  <w:num w:numId="9">
    <w:abstractNumId w:val="19"/>
  </w:num>
  <w:num w:numId="10">
    <w:abstractNumId w:val="15"/>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0"/>
  </w:num>
  <w:num w:numId="17">
    <w:abstractNumId w:val="14"/>
  </w:num>
  <w:num w:numId="18">
    <w:abstractNumId w:val="12"/>
  </w:num>
  <w:num w:numId="19">
    <w:abstractNumId w:val="18"/>
  </w:num>
  <w:num w:numId="20">
    <w:abstractNumId w:val="8"/>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226E0"/>
    <w:rsid w:val="0003595B"/>
    <w:rsid w:val="00036517"/>
    <w:rsid w:val="00036CC9"/>
    <w:rsid w:val="0004762A"/>
    <w:rsid w:val="00070642"/>
    <w:rsid w:val="000713CF"/>
    <w:rsid w:val="00075C14"/>
    <w:rsid w:val="000822B5"/>
    <w:rsid w:val="00094B87"/>
    <w:rsid w:val="000A012B"/>
    <w:rsid w:val="000A5418"/>
    <w:rsid w:val="000F345F"/>
    <w:rsid w:val="000F517C"/>
    <w:rsid w:val="000F5540"/>
    <w:rsid w:val="00105F1A"/>
    <w:rsid w:val="001409B2"/>
    <w:rsid w:val="00152636"/>
    <w:rsid w:val="001539DD"/>
    <w:rsid w:val="00156782"/>
    <w:rsid w:val="00171BBC"/>
    <w:rsid w:val="001731F4"/>
    <w:rsid w:val="00182411"/>
    <w:rsid w:val="00196568"/>
    <w:rsid w:val="00196800"/>
    <w:rsid w:val="00197C18"/>
    <w:rsid w:val="001A2F16"/>
    <w:rsid w:val="001B1804"/>
    <w:rsid w:val="001B18C2"/>
    <w:rsid w:val="001B24ED"/>
    <w:rsid w:val="001B7E00"/>
    <w:rsid w:val="001C61A5"/>
    <w:rsid w:val="001C6707"/>
    <w:rsid w:val="001D2898"/>
    <w:rsid w:val="001D5D7E"/>
    <w:rsid w:val="001F5947"/>
    <w:rsid w:val="00202410"/>
    <w:rsid w:val="00210C8A"/>
    <w:rsid w:val="00214A0C"/>
    <w:rsid w:val="0021588B"/>
    <w:rsid w:val="0021653E"/>
    <w:rsid w:val="002216AC"/>
    <w:rsid w:val="002506D2"/>
    <w:rsid w:val="00250DE2"/>
    <w:rsid w:val="00254A1B"/>
    <w:rsid w:val="0026064A"/>
    <w:rsid w:val="0028454D"/>
    <w:rsid w:val="00291C9E"/>
    <w:rsid w:val="002926D4"/>
    <w:rsid w:val="002B06A3"/>
    <w:rsid w:val="002B3569"/>
    <w:rsid w:val="002B435C"/>
    <w:rsid w:val="002B447F"/>
    <w:rsid w:val="002C07DA"/>
    <w:rsid w:val="002C6D5C"/>
    <w:rsid w:val="002C6D7C"/>
    <w:rsid w:val="002C7EA9"/>
    <w:rsid w:val="002D0D98"/>
    <w:rsid w:val="002D50EA"/>
    <w:rsid w:val="002D5D0E"/>
    <w:rsid w:val="002E6C0D"/>
    <w:rsid w:val="002F575D"/>
    <w:rsid w:val="00301ABD"/>
    <w:rsid w:val="0030690F"/>
    <w:rsid w:val="003113D7"/>
    <w:rsid w:val="00311E8A"/>
    <w:rsid w:val="00316A36"/>
    <w:rsid w:val="00324D8F"/>
    <w:rsid w:val="00342F20"/>
    <w:rsid w:val="00346BB3"/>
    <w:rsid w:val="003532C5"/>
    <w:rsid w:val="00360377"/>
    <w:rsid w:val="003646CF"/>
    <w:rsid w:val="00366548"/>
    <w:rsid w:val="003809C7"/>
    <w:rsid w:val="0038236C"/>
    <w:rsid w:val="0039038F"/>
    <w:rsid w:val="00395B40"/>
    <w:rsid w:val="003A6568"/>
    <w:rsid w:val="003B1204"/>
    <w:rsid w:val="003B6263"/>
    <w:rsid w:val="003C29E6"/>
    <w:rsid w:val="003C64A7"/>
    <w:rsid w:val="003D1671"/>
    <w:rsid w:val="003D3FDA"/>
    <w:rsid w:val="003D6D00"/>
    <w:rsid w:val="003E166F"/>
    <w:rsid w:val="003E694F"/>
    <w:rsid w:val="003F5A60"/>
    <w:rsid w:val="003F798D"/>
    <w:rsid w:val="004001E5"/>
    <w:rsid w:val="00420822"/>
    <w:rsid w:val="00420C74"/>
    <w:rsid w:val="004224A8"/>
    <w:rsid w:val="00441CBF"/>
    <w:rsid w:val="004465AA"/>
    <w:rsid w:val="0045458F"/>
    <w:rsid w:val="004633B4"/>
    <w:rsid w:val="00472903"/>
    <w:rsid w:val="00473CC1"/>
    <w:rsid w:val="004A2F96"/>
    <w:rsid w:val="004B3553"/>
    <w:rsid w:val="004B3F4B"/>
    <w:rsid w:val="004B427A"/>
    <w:rsid w:val="00503189"/>
    <w:rsid w:val="005207B7"/>
    <w:rsid w:val="00526D01"/>
    <w:rsid w:val="00530E8C"/>
    <w:rsid w:val="00545933"/>
    <w:rsid w:val="00552105"/>
    <w:rsid w:val="005562F2"/>
    <w:rsid w:val="00557544"/>
    <w:rsid w:val="00565BBB"/>
    <w:rsid w:val="00585F3C"/>
    <w:rsid w:val="00586CA0"/>
    <w:rsid w:val="00587875"/>
    <w:rsid w:val="005A63EB"/>
    <w:rsid w:val="005C33B6"/>
    <w:rsid w:val="005D1DB1"/>
    <w:rsid w:val="005D5144"/>
    <w:rsid w:val="005D6202"/>
    <w:rsid w:val="005D6E98"/>
    <w:rsid w:val="005D7F7D"/>
    <w:rsid w:val="005F5A1B"/>
    <w:rsid w:val="00607E2B"/>
    <w:rsid w:val="006139D6"/>
    <w:rsid w:val="00616D1B"/>
    <w:rsid w:val="00623CE1"/>
    <w:rsid w:val="00624113"/>
    <w:rsid w:val="0063062B"/>
    <w:rsid w:val="00637351"/>
    <w:rsid w:val="00646166"/>
    <w:rsid w:val="00654896"/>
    <w:rsid w:val="006621F0"/>
    <w:rsid w:val="006647BA"/>
    <w:rsid w:val="00666F5F"/>
    <w:rsid w:val="00667229"/>
    <w:rsid w:val="00682BE5"/>
    <w:rsid w:val="00690FED"/>
    <w:rsid w:val="006939A5"/>
    <w:rsid w:val="00695D18"/>
    <w:rsid w:val="006B49DF"/>
    <w:rsid w:val="006B6345"/>
    <w:rsid w:val="006C633B"/>
    <w:rsid w:val="006D5223"/>
    <w:rsid w:val="006E12FC"/>
    <w:rsid w:val="006E32B7"/>
    <w:rsid w:val="006F2B2E"/>
    <w:rsid w:val="00703DB4"/>
    <w:rsid w:val="00705962"/>
    <w:rsid w:val="00707C21"/>
    <w:rsid w:val="00712451"/>
    <w:rsid w:val="00717DE9"/>
    <w:rsid w:val="0072518B"/>
    <w:rsid w:val="007300C1"/>
    <w:rsid w:val="00731041"/>
    <w:rsid w:val="007329E4"/>
    <w:rsid w:val="00732F08"/>
    <w:rsid w:val="007342F0"/>
    <w:rsid w:val="0074190C"/>
    <w:rsid w:val="007570AC"/>
    <w:rsid w:val="00762576"/>
    <w:rsid w:val="007673CA"/>
    <w:rsid w:val="00780DBE"/>
    <w:rsid w:val="00791060"/>
    <w:rsid w:val="007A515A"/>
    <w:rsid w:val="007B5626"/>
    <w:rsid w:val="007B6124"/>
    <w:rsid w:val="007C044A"/>
    <w:rsid w:val="007D3C53"/>
    <w:rsid w:val="007E007C"/>
    <w:rsid w:val="007E3811"/>
    <w:rsid w:val="007F2628"/>
    <w:rsid w:val="007F2FBA"/>
    <w:rsid w:val="00800C3A"/>
    <w:rsid w:val="0080570B"/>
    <w:rsid w:val="00810476"/>
    <w:rsid w:val="008148E1"/>
    <w:rsid w:val="008203BB"/>
    <w:rsid w:val="008319BF"/>
    <w:rsid w:val="008433C2"/>
    <w:rsid w:val="00844457"/>
    <w:rsid w:val="008454C8"/>
    <w:rsid w:val="00851D78"/>
    <w:rsid w:val="00852184"/>
    <w:rsid w:val="00861FAE"/>
    <w:rsid w:val="008700E4"/>
    <w:rsid w:val="00874AE5"/>
    <w:rsid w:val="0087793F"/>
    <w:rsid w:val="00880318"/>
    <w:rsid w:val="00896C76"/>
    <w:rsid w:val="008A1A0D"/>
    <w:rsid w:val="008A76ED"/>
    <w:rsid w:val="008B3C72"/>
    <w:rsid w:val="008B4EF9"/>
    <w:rsid w:val="008C5D03"/>
    <w:rsid w:val="008D0E09"/>
    <w:rsid w:val="00903007"/>
    <w:rsid w:val="00923816"/>
    <w:rsid w:val="0093074B"/>
    <w:rsid w:val="00930E64"/>
    <w:rsid w:val="00955F6A"/>
    <w:rsid w:val="00956F8C"/>
    <w:rsid w:val="00961D57"/>
    <w:rsid w:val="009653A7"/>
    <w:rsid w:val="00965D1F"/>
    <w:rsid w:val="00972DB6"/>
    <w:rsid w:val="009750F9"/>
    <w:rsid w:val="00976716"/>
    <w:rsid w:val="0097693B"/>
    <w:rsid w:val="00992FAE"/>
    <w:rsid w:val="00993355"/>
    <w:rsid w:val="009963F7"/>
    <w:rsid w:val="009A420B"/>
    <w:rsid w:val="009A4A6D"/>
    <w:rsid w:val="009A77F4"/>
    <w:rsid w:val="009B7E42"/>
    <w:rsid w:val="009E13DD"/>
    <w:rsid w:val="00A0503B"/>
    <w:rsid w:val="00A05631"/>
    <w:rsid w:val="00A13265"/>
    <w:rsid w:val="00A14900"/>
    <w:rsid w:val="00A2159F"/>
    <w:rsid w:val="00A350FB"/>
    <w:rsid w:val="00A529BC"/>
    <w:rsid w:val="00A5346C"/>
    <w:rsid w:val="00A562F0"/>
    <w:rsid w:val="00A564FB"/>
    <w:rsid w:val="00A614C1"/>
    <w:rsid w:val="00A61EA6"/>
    <w:rsid w:val="00A71136"/>
    <w:rsid w:val="00A927F5"/>
    <w:rsid w:val="00AA3D56"/>
    <w:rsid w:val="00AA474C"/>
    <w:rsid w:val="00AB634A"/>
    <w:rsid w:val="00AC35EF"/>
    <w:rsid w:val="00AD2697"/>
    <w:rsid w:val="00AD7E5F"/>
    <w:rsid w:val="00AE3066"/>
    <w:rsid w:val="00AF0218"/>
    <w:rsid w:val="00AF68E4"/>
    <w:rsid w:val="00B01AA1"/>
    <w:rsid w:val="00B20EC4"/>
    <w:rsid w:val="00B219E0"/>
    <w:rsid w:val="00B30C81"/>
    <w:rsid w:val="00B4793B"/>
    <w:rsid w:val="00B64A60"/>
    <w:rsid w:val="00B75341"/>
    <w:rsid w:val="00B80B97"/>
    <w:rsid w:val="00B81B7B"/>
    <w:rsid w:val="00B937D7"/>
    <w:rsid w:val="00B96B67"/>
    <w:rsid w:val="00BB2574"/>
    <w:rsid w:val="00BB7C9E"/>
    <w:rsid w:val="00BC57EF"/>
    <w:rsid w:val="00BD4782"/>
    <w:rsid w:val="00BF25F9"/>
    <w:rsid w:val="00C0487C"/>
    <w:rsid w:val="00C13FC6"/>
    <w:rsid w:val="00C13FD5"/>
    <w:rsid w:val="00C15633"/>
    <w:rsid w:val="00C15799"/>
    <w:rsid w:val="00C176EE"/>
    <w:rsid w:val="00C32E84"/>
    <w:rsid w:val="00C35415"/>
    <w:rsid w:val="00C357AD"/>
    <w:rsid w:val="00C554CC"/>
    <w:rsid w:val="00C6069C"/>
    <w:rsid w:val="00C74745"/>
    <w:rsid w:val="00C810E3"/>
    <w:rsid w:val="00C85119"/>
    <w:rsid w:val="00CA21A7"/>
    <w:rsid w:val="00CA51A7"/>
    <w:rsid w:val="00CD320B"/>
    <w:rsid w:val="00CD3F37"/>
    <w:rsid w:val="00CD5431"/>
    <w:rsid w:val="00CD623B"/>
    <w:rsid w:val="00CE4B93"/>
    <w:rsid w:val="00CF2491"/>
    <w:rsid w:val="00CF3963"/>
    <w:rsid w:val="00D1252E"/>
    <w:rsid w:val="00D13D9D"/>
    <w:rsid w:val="00D31494"/>
    <w:rsid w:val="00D459A2"/>
    <w:rsid w:val="00D530FF"/>
    <w:rsid w:val="00D53688"/>
    <w:rsid w:val="00D53BCF"/>
    <w:rsid w:val="00D5407A"/>
    <w:rsid w:val="00D57772"/>
    <w:rsid w:val="00D72AE3"/>
    <w:rsid w:val="00D75A4D"/>
    <w:rsid w:val="00D8478B"/>
    <w:rsid w:val="00D86151"/>
    <w:rsid w:val="00D9172D"/>
    <w:rsid w:val="00D96063"/>
    <w:rsid w:val="00DA7595"/>
    <w:rsid w:val="00DB0A68"/>
    <w:rsid w:val="00DC43A3"/>
    <w:rsid w:val="00DC4CF3"/>
    <w:rsid w:val="00DC5C01"/>
    <w:rsid w:val="00DD7C09"/>
    <w:rsid w:val="00E0124F"/>
    <w:rsid w:val="00E308A6"/>
    <w:rsid w:val="00E51D86"/>
    <w:rsid w:val="00E62F21"/>
    <w:rsid w:val="00E674D3"/>
    <w:rsid w:val="00E70FD0"/>
    <w:rsid w:val="00E77C4B"/>
    <w:rsid w:val="00E9301F"/>
    <w:rsid w:val="00E9690A"/>
    <w:rsid w:val="00E97DC7"/>
    <w:rsid w:val="00EE027C"/>
    <w:rsid w:val="00F000EF"/>
    <w:rsid w:val="00F122BA"/>
    <w:rsid w:val="00F2504E"/>
    <w:rsid w:val="00F2585B"/>
    <w:rsid w:val="00F3356B"/>
    <w:rsid w:val="00F4053F"/>
    <w:rsid w:val="00F44A65"/>
    <w:rsid w:val="00F516E7"/>
    <w:rsid w:val="00F57BF7"/>
    <w:rsid w:val="00F6263E"/>
    <w:rsid w:val="00F627C2"/>
    <w:rsid w:val="00F7483D"/>
    <w:rsid w:val="00F84067"/>
    <w:rsid w:val="00F94985"/>
    <w:rsid w:val="00FA50B4"/>
    <w:rsid w:val="00FB200E"/>
    <w:rsid w:val="00FC156A"/>
    <w:rsid w:val="00FD1156"/>
    <w:rsid w:val="00FD6235"/>
    <w:rsid w:val="00FE3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7300DC-8D30-4216-9842-F06951D9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paragraph" w:styleId="NormalWeb">
    <w:name w:val="Normal (Web)"/>
    <w:basedOn w:val="Normal"/>
    <w:uiPriority w:val="99"/>
    <w:unhideWhenUsed/>
    <w:rsid w:val="00F44A65"/>
    <w:pPr>
      <w:spacing w:before="100" w:beforeAutospacing="1" w:after="100" w:afterAutospacing="1"/>
    </w:pPr>
    <w:rPr>
      <w:rFonts w:eastAsia="Times New Roman"/>
      <w:lang w:val="en-AU" w:eastAsia="en-AU"/>
    </w:rPr>
  </w:style>
  <w:style w:type="paragraph" w:customStyle="1" w:styleId="ListParagraph1">
    <w:name w:val="List Paragraph1"/>
    <w:basedOn w:val="Normal"/>
    <w:uiPriority w:val="34"/>
    <w:qFormat/>
    <w:rsid w:val="00F44A65"/>
    <w:pPr>
      <w:ind w:firstLineChars="200" w:firstLine="420"/>
    </w:pPr>
  </w:style>
  <w:style w:type="character" w:styleId="FollowedHyperlink">
    <w:name w:val="FollowedHyperlink"/>
    <w:basedOn w:val="DefaultParagraphFont"/>
    <w:semiHidden/>
    <w:unhideWhenUsed/>
    <w:rsid w:val="00441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25723">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WP1B-C-0193"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itu.int/md/R15-WP1B-C-0193" TargetMode="External"/><Relationship Id="rId4" Type="http://schemas.openxmlformats.org/officeDocument/2006/relationships/settings" Target="settings.xml"/><Relationship Id="rId9" Type="http://schemas.openxmlformats.org/officeDocument/2006/relationships/hyperlink" Target="https://www.google.com.au/url?sa=t&amp;rct=j&amp;q=&amp;esrc=s&amp;source=web&amp;cd=1&amp;cad=rja&amp;uact=8&amp;ved=0ahUKEwi_vJ72h_nUAhXFVrwKHbcGBjoQFggkMAA&amp;url=https%3A%2F%2Fwww.itu.int%2Fdms_pub%2Fitu-r%2Foth%2F0c%2F0a%2FR0C0A00000C0024PDFE.pdf&amp;usg=AFQjCNHAI-M36rKMCDIrjXGHQHgSpyoUfA"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C835-B3E3-4939-B023-947BEB3E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990</Words>
  <Characters>5647</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2015-02-02T07:28:00Z</cp:lastPrinted>
  <dcterms:created xsi:type="dcterms:W3CDTF">2017-07-21T01:56:00Z</dcterms:created>
  <dcterms:modified xsi:type="dcterms:W3CDTF">2017-07-24T02:55:00Z</dcterms:modified>
</cp:coreProperties>
</file>