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2C8A9CF9" w14:textId="77777777" w:rsidTr="00ED362E">
        <w:trPr>
          <w:cantSplit/>
        </w:trPr>
        <w:tc>
          <w:tcPr>
            <w:tcW w:w="1399" w:type="dxa"/>
            <w:vMerge w:val="restart"/>
          </w:tcPr>
          <w:p w14:paraId="57919ADE" w14:textId="77777777" w:rsidR="00CF3963" w:rsidRPr="00441526" w:rsidRDefault="00CF3963" w:rsidP="00ED362E">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5BED62D2" wp14:editId="3CF5078D">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07EF0E78" w14:textId="77777777" w:rsidR="00CF3963" w:rsidRPr="00441526" w:rsidRDefault="00CF3963" w:rsidP="00ED362E">
            <w:r w:rsidRPr="00441526">
              <w:t>ASIA-PACIFIC TELECOMMUNITY</w:t>
            </w:r>
          </w:p>
        </w:tc>
        <w:tc>
          <w:tcPr>
            <w:tcW w:w="2700" w:type="dxa"/>
          </w:tcPr>
          <w:p w14:paraId="790AC092" w14:textId="77777777" w:rsidR="00CF3963" w:rsidRPr="00441526" w:rsidRDefault="00CF3963" w:rsidP="00ED362E">
            <w:pPr>
              <w:rPr>
                <w:b/>
                <w:bCs/>
                <w:lang w:val="fr-FR"/>
              </w:rPr>
            </w:pPr>
            <w:r w:rsidRPr="00441526">
              <w:rPr>
                <w:b/>
                <w:lang w:val="fr-FR"/>
              </w:rPr>
              <w:t>Document</w:t>
            </w:r>
            <w:r w:rsidR="00FD4A42">
              <w:rPr>
                <w:b/>
                <w:lang w:val="fr-FR"/>
              </w:rPr>
              <w:t xml:space="preserve"> No</w:t>
            </w:r>
            <w:r w:rsidRPr="00441526">
              <w:rPr>
                <w:b/>
                <w:lang w:val="fr-FR"/>
              </w:rPr>
              <w:t xml:space="preserve">: </w:t>
            </w:r>
          </w:p>
        </w:tc>
      </w:tr>
      <w:tr w:rsidR="00CF3963" w:rsidRPr="00441526" w14:paraId="67EA90B0" w14:textId="77777777" w:rsidTr="00ED362E">
        <w:trPr>
          <w:cantSplit/>
        </w:trPr>
        <w:tc>
          <w:tcPr>
            <w:tcW w:w="1399" w:type="dxa"/>
            <w:vMerge/>
          </w:tcPr>
          <w:p w14:paraId="5CB4C0B7" w14:textId="77777777" w:rsidR="00CF3963" w:rsidRPr="00441526" w:rsidRDefault="00CF3963" w:rsidP="00ED362E"/>
        </w:tc>
        <w:tc>
          <w:tcPr>
            <w:tcW w:w="5720" w:type="dxa"/>
          </w:tcPr>
          <w:p w14:paraId="1D521888" w14:textId="77777777"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183CA08" w14:textId="3B2C9611" w:rsidR="00CF3963" w:rsidRPr="00441526" w:rsidRDefault="00CF3963" w:rsidP="00B72A0E">
            <w:pPr>
              <w:rPr>
                <w:b/>
                <w:bCs/>
                <w:lang w:val="fr-FR"/>
              </w:rPr>
            </w:pPr>
            <w:r w:rsidRPr="00441526">
              <w:rPr>
                <w:b/>
                <w:bCs/>
                <w:lang w:val="fr-FR"/>
              </w:rPr>
              <w:t>APG19-</w:t>
            </w:r>
            <w:r w:rsidR="00393DCD" w:rsidRPr="00441526">
              <w:rPr>
                <w:b/>
                <w:bCs/>
                <w:lang w:val="fr-FR"/>
              </w:rPr>
              <w:t>3</w:t>
            </w:r>
            <w:r w:rsidRPr="00441526">
              <w:rPr>
                <w:b/>
                <w:bCs/>
                <w:lang w:val="fr-FR"/>
              </w:rPr>
              <w:t>/</w:t>
            </w:r>
            <w:r w:rsidR="009B4D8C">
              <w:rPr>
                <w:b/>
                <w:bCs/>
                <w:lang w:eastAsia="zh-CN"/>
              </w:rPr>
              <w:t>OUT</w:t>
            </w:r>
            <w:r w:rsidR="009B4D8C">
              <w:rPr>
                <w:b/>
                <w:bCs/>
                <w:lang w:val="fr-FR"/>
              </w:rPr>
              <w:t>-</w:t>
            </w:r>
            <w:r w:rsidR="00035275">
              <w:rPr>
                <w:b/>
                <w:bCs/>
                <w:lang w:val="fr-FR"/>
              </w:rPr>
              <w:t>0</w:t>
            </w:r>
            <w:r w:rsidR="009B4D8C">
              <w:rPr>
                <w:b/>
                <w:bCs/>
                <w:lang w:val="fr-FR"/>
              </w:rPr>
              <w:t>5</w:t>
            </w:r>
          </w:p>
        </w:tc>
      </w:tr>
      <w:tr w:rsidR="00CF3963" w:rsidRPr="00441526" w14:paraId="2344ABDD" w14:textId="77777777" w:rsidTr="00ED362E">
        <w:trPr>
          <w:cantSplit/>
          <w:trHeight w:val="219"/>
        </w:trPr>
        <w:tc>
          <w:tcPr>
            <w:tcW w:w="1399" w:type="dxa"/>
            <w:vMerge/>
          </w:tcPr>
          <w:p w14:paraId="2CBD8C7A" w14:textId="77777777" w:rsidR="00CF3963" w:rsidRPr="00441526" w:rsidRDefault="00CF3963" w:rsidP="00ED362E">
            <w:pPr>
              <w:rPr>
                <w:lang w:val="fr-FR"/>
              </w:rPr>
            </w:pPr>
          </w:p>
        </w:tc>
        <w:tc>
          <w:tcPr>
            <w:tcW w:w="5720" w:type="dxa"/>
          </w:tcPr>
          <w:p w14:paraId="7EC2E44E" w14:textId="77777777" w:rsidR="00CF3963" w:rsidRPr="00441526" w:rsidRDefault="00CF3963" w:rsidP="00550252">
            <w:r w:rsidRPr="00441526">
              <w:t>1</w:t>
            </w:r>
            <w:r w:rsidR="00393DCD" w:rsidRPr="00441526">
              <w:t>2</w:t>
            </w:r>
            <w:r w:rsidRPr="00441526">
              <w:t xml:space="preserve"> – 1</w:t>
            </w:r>
            <w:r w:rsidR="00550252">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15BD8930" w14:textId="2944BB08" w:rsidR="00CF3963" w:rsidRPr="00441526" w:rsidRDefault="009B4D8C" w:rsidP="00393DCD">
            <w:pPr>
              <w:rPr>
                <w:b/>
              </w:rPr>
            </w:pPr>
            <w:r>
              <w:rPr>
                <w:b/>
              </w:rPr>
              <w:t>16</w:t>
            </w:r>
            <w:r w:rsidR="00CF767C"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1C820452" w14:textId="77777777" w:rsidR="00D13D9D" w:rsidRPr="00441526" w:rsidRDefault="00D13D9D" w:rsidP="00DA7595">
      <w:pPr>
        <w:rPr>
          <w:lang w:val="en-NZ" w:eastAsia="ko-KR"/>
        </w:rPr>
      </w:pPr>
    </w:p>
    <w:p w14:paraId="42EC78C2" w14:textId="77777777" w:rsidR="00311E8A" w:rsidRPr="00FD4A42" w:rsidRDefault="00311E8A" w:rsidP="0072518B">
      <w:pPr>
        <w:jc w:val="center"/>
        <w:rPr>
          <w:lang w:val="en-NZ"/>
        </w:rPr>
      </w:pPr>
    </w:p>
    <w:p w14:paraId="04E18272" w14:textId="07A39F4D" w:rsidR="00B64A60" w:rsidRPr="00035275" w:rsidRDefault="0026064A" w:rsidP="00B64A60">
      <w:pPr>
        <w:jc w:val="center"/>
        <w:rPr>
          <w:bCs/>
          <w:lang w:eastAsia="zh-CN"/>
        </w:rPr>
      </w:pPr>
      <w:r w:rsidRPr="009B4D8C">
        <w:rPr>
          <w:b/>
          <w:lang w:val="en-NZ" w:eastAsia="ko-KR"/>
        </w:rPr>
        <w:t xml:space="preserve"> </w:t>
      </w:r>
      <w:r w:rsidR="009B4D8C" w:rsidRPr="00035275">
        <w:rPr>
          <w:bCs/>
          <w:lang w:val="en-NZ" w:eastAsia="ko-KR"/>
        </w:rPr>
        <w:t>W</w:t>
      </w:r>
      <w:r w:rsidR="009B4D8C" w:rsidRPr="00035275">
        <w:rPr>
          <w:bCs/>
          <w:lang w:eastAsia="zh-CN"/>
        </w:rPr>
        <w:t>orking Party 1</w:t>
      </w:r>
    </w:p>
    <w:p w14:paraId="5A560C54" w14:textId="77777777" w:rsidR="00B64A60" w:rsidRPr="00441526" w:rsidRDefault="00B64A60" w:rsidP="00B64A60">
      <w:pPr>
        <w:jc w:val="center"/>
        <w:rPr>
          <w:b/>
          <w:bCs/>
          <w:caps/>
          <w:lang w:val="en-NZ"/>
        </w:rPr>
      </w:pPr>
    </w:p>
    <w:p w14:paraId="3223E635" w14:textId="2B231009" w:rsidR="00B64A60" w:rsidRPr="00441526" w:rsidRDefault="00B64A60" w:rsidP="00B64A60">
      <w:pPr>
        <w:jc w:val="center"/>
        <w:rPr>
          <w:b/>
          <w:bCs/>
          <w:caps/>
          <w:lang w:val="en-NZ"/>
        </w:rPr>
      </w:pPr>
      <w:r w:rsidRPr="00441526">
        <w:rPr>
          <w:b/>
          <w:bCs/>
          <w:caps/>
          <w:lang w:val="en-NZ"/>
        </w:rPr>
        <w:t>PRELIMINARY VIEWs on WRC-19 agenda item 1.</w:t>
      </w:r>
      <w:r w:rsidR="00B72A0E">
        <w:rPr>
          <w:b/>
          <w:bCs/>
          <w:caps/>
          <w:lang w:val="en-NZ"/>
        </w:rPr>
        <w:t>12</w:t>
      </w:r>
    </w:p>
    <w:p w14:paraId="2643441D" w14:textId="77777777" w:rsidR="00B64A60" w:rsidRPr="00441526" w:rsidRDefault="00B64A60" w:rsidP="00264566">
      <w:pPr>
        <w:spacing w:after="120"/>
        <w:rPr>
          <w:lang w:val="en-NZ"/>
        </w:rPr>
      </w:pPr>
    </w:p>
    <w:p w14:paraId="7D98E399" w14:textId="77777777" w:rsidR="00B64A60" w:rsidRPr="00441526" w:rsidRDefault="00B64A60" w:rsidP="00264566">
      <w:pPr>
        <w:spacing w:after="120"/>
        <w:jc w:val="both"/>
        <w:rPr>
          <w:lang w:val="en-NZ"/>
        </w:rPr>
      </w:pPr>
      <w:r w:rsidRPr="00441526">
        <w:rPr>
          <w:b/>
          <w:lang w:val="en-NZ"/>
        </w:rPr>
        <w:t>Agenda Item 1.</w:t>
      </w:r>
      <w:r w:rsidR="00B72A0E">
        <w:rPr>
          <w:b/>
          <w:lang w:val="en-NZ"/>
        </w:rPr>
        <w:t>12</w:t>
      </w:r>
      <w:r w:rsidRPr="00441526">
        <w:rPr>
          <w:b/>
          <w:lang w:val="en-NZ"/>
        </w:rPr>
        <w:t xml:space="preserve">: </w:t>
      </w:r>
    </w:p>
    <w:p w14:paraId="6D606754" w14:textId="77777777" w:rsidR="00B72A0E" w:rsidRDefault="00B72A0E" w:rsidP="00B72A0E">
      <w:pPr>
        <w:jc w:val="both"/>
        <w:rPr>
          <w:i/>
          <w:lang w:val="en-NZ"/>
        </w:rPr>
      </w:pPr>
      <w:r w:rsidRPr="00FD1A60">
        <w:rPr>
          <w:i/>
          <w:lang w:val="en-NZ"/>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2715FD">
        <w:rPr>
          <w:b/>
          <w:bCs/>
          <w:i/>
          <w:lang w:val="en-NZ"/>
        </w:rPr>
        <w:t>237 (WRC-15)</w:t>
      </w:r>
      <w:r w:rsidRPr="00FD1A60">
        <w:rPr>
          <w:i/>
          <w:lang w:val="en-NZ"/>
        </w:rPr>
        <w:t>;</w:t>
      </w:r>
    </w:p>
    <w:p w14:paraId="2669005F" w14:textId="77777777" w:rsidR="00B64A60" w:rsidRPr="00441526" w:rsidRDefault="00B64A60" w:rsidP="00B64A60">
      <w:pPr>
        <w:jc w:val="both"/>
        <w:rPr>
          <w:lang w:val="en-NZ"/>
        </w:rPr>
      </w:pPr>
    </w:p>
    <w:p w14:paraId="254003EC" w14:textId="77777777" w:rsidR="00B64A60" w:rsidRDefault="00B64A60" w:rsidP="00B64A60">
      <w:pPr>
        <w:spacing w:after="120"/>
        <w:jc w:val="both"/>
        <w:rPr>
          <w:b/>
          <w:lang w:val="en-NZ" w:eastAsia="ko-KR"/>
        </w:rPr>
      </w:pPr>
      <w:r w:rsidRPr="00441526">
        <w:rPr>
          <w:b/>
          <w:lang w:val="en-NZ" w:eastAsia="ko-KR"/>
        </w:rPr>
        <w:t xml:space="preserve">1. </w:t>
      </w:r>
      <w:r w:rsidRPr="00441526">
        <w:rPr>
          <w:b/>
          <w:lang w:val="en-NZ" w:eastAsia="ko-KR"/>
        </w:rPr>
        <w:tab/>
        <w:t>Background</w:t>
      </w:r>
    </w:p>
    <w:p w14:paraId="23E32C2F" w14:textId="77777777" w:rsidR="008D2C73" w:rsidRPr="008D2C73" w:rsidRDefault="008D2C73" w:rsidP="008D2C73">
      <w:pPr>
        <w:spacing w:after="100" w:afterAutospacing="1"/>
        <w:jc w:val="both"/>
      </w:pPr>
      <w:r w:rsidRPr="0012390B">
        <w:rPr>
          <w:rFonts w:eastAsia="SimSun"/>
          <w:lang w:eastAsia="zh-CN"/>
        </w:rPr>
        <w:t xml:space="preserve">As the responsible group of WRC-19 Agenda item 1.12 in ITU-R, Working Party 5A (WP5A) </w:t>
      </w:r>
      <w:r w:rsidRPr="0012390B">
        <w:rPr>
          <w:rFonts w:eastAsia="SimSun"/>
        </w:rPr>
        <w:t xml:space="preserve">had one meeting since APG19-2 meeting. </w:t>
      </w:r>
      <w:r w:rsidRPr="0012390B">
        <w:rPr>
          <w:rFonts w:eastAsia="SimSun"/>
          <w:lang w:eastAsia="zh-CN"/>
        </w:rPr>
        <w:t xml:space="preserve">WP5A developed a </w:t>
      </w:r>
      <w:r w:rsidRPr="0012390B">
        <w:rPr>
          <w:rFonts w:eastAsia="Times New Roman"/>
          <w:lang w:bidi="en-US"/>
        </w:rPr>
        <w:t xml:space="preserve">preliminary </w:t>
      </w:r>
      <w:r w:rsidRPr="0012390B">
        <w:rPr>
          <w:rFonts w:eastAsia="Times New Roman"/>
          <w:bCs/>
          <w:lang w:eastAsia="zh-CN"/>
        </w:rPr>
        <w:t>draft CPM text for this agenda item</w:t>
      </w:r>
      <w:r w:rsidRPr="0012390B">
        <w:rPr>
          <w:rFonts w:eastAsia="SimSun"/>
          <w:lang w:eastAsia="zh-CN"/>
        </w:rPr>
        <w:t xml:space="preserve">. </w:t>
      </w:r>
      <w:r w:rsidRPr="0012390B">
        <w:t>WP 5A has also developed a working document towards a preliminary draft new Report ITU-R M.[ITS USAGE] covering overall ITS usage</w:t>
      </w:r>
      <w:r w:rsidRPr="0012390B">
        <w:rPr>
          <w:rFonts w:eastAsia="Times New Roman"/>
          <w:lang w:bidi="en-US"/>
        </w:rPr>
        <w:t xml:space="preserve"> in various countries</w:t>
      </w:r>
      <w:r w:rsidRPr="0012390B">
        <w:t xml:space="preserve"> and a preliminary draft new Recommendation ITU-R M.[ITS_FRQ] dealing with harmonized frequency bands. </w:t>
      </w:r>
      <w:r w:rsidRPr="0012390B">
        <w:rPr>
          <w:rFonts w:eastAsia="Times New Roman"/>
          <w:lang w:bidi="en-US"/>
        </w:rPr>
        <w:t xml:space="preserve"> </w:t>
      </w:r>
      <w:r w:rsidRPr="0012390B">
        <w:rPr>
          <w:noProof/>
        </w:rPr>
        <w:t>In addition</w:t>
      </w:r>
      <w:r w:rsidRPr="0012390B">
        <w:t xml:space="preserve">, </w:t>
      </w:r>
      <w:r w:rsidR="00173BF8">
        <w:t>AWG</w:t>
      </w:r>
      <w:r w:rsidRPr="0012390B">
        <w:t xml:space="preserve"> is developing a </w:t>
      </w:r>
      <w:r w:rsidRPr="0012390B">
        <w:rPr>
          <w:rFonts w:eastAsia="SimSun"/>
          <w:lang w:eastAsia="zh-CN"/>
        </w:rPr>
        <w:t xml:space="preserve">working document towards a preliminary draft revision of APT Report on </w:t>
      </w:r>
      <w:r w:rsidRPr="0012390B">
        <w:t>“The Usage of ITS in APT countries” (APT REPORT#18 (REV.2)).</w:t>
      </w:r>
      <w:r w:rsidRPr="008D2C73">
        <w:rPr>
          <w:rFonts w:eastAsiaTheme="minorEastAsia"/>
          <w:lang w:eastAsia="ja-JP"/>
        </w:rPr>
        <w:t xml:space="preserve">  </w:t>
      </w:r>
    </w:p>
    <w:p w14:paraId="5D22CA6F" w14:textId="77777777" w:rsidR="008D2C73" w:rsidRPr="0012390B" w:rsidRDefault="008D2C73" w:rsidP="008D2C73">
      <w:pPr>
        <w:jc w:val="both"/>
        <w:rPr>
          <w:lang w:val="en-NZ"/>
        </w:rPr>
      </w:pPr>
      <w:r w:rsidRPr="0012390B">
        <w:rPr>
          <w:lang w:val="en-NZ"/>
        </w:rPr>
        <w:t>Relevant ITU-R Reports/Recommendations, APT Reports/Recommendations and ongoing studies are as follows:</w:t>
      </w:r>
    </w:p>
    <w:p w14:paraId="1ABCE97B" w14:textId="77777777" w:rsidR="008D2C73" w:rsidRPr="0012390B" w:rsidRDefault="008D2C73" w:rsidP="008D2C73">
      <w:pPr>
        <w:pStyle w:val="enumlev1"/>
        <w:numPr>
          <w:ilvl w:val="0"/>
          <w:numId w:val="25"/>
        </w:numPr>
        <w:tabs>
          <w:tab w:val="clear" w:pos="1134"/>
          <w:tab w:val="left" w:pos="426"/>
        </w:tabs>
        <w:spacing w:before="0"/>
        <w:ind w:left="426" w:hanging="426"/>
        <w:jc w:val="both"/>
        <w:rPr>
          <w:rFonts w:eastAsia="MS Gothic"/>
          <w:szCs w:val="24"/>
          <w:lang w:val="en-US"/>
        </w:rPr>
      </w:pPr>
      <w:r w:rsidRPr="0012390B">
        <w:rPr>
          <w:szCs w:val="24"/>
          <w:lang w:val="en-US" w:eastAsia="ja-JP"/>
        </w:rPr>
        <w:t>Recommendation ITU-R M.1890, “</w:t>
      </w:r>
      <w:r w:rsidRPr="0012390B">
        <w:rPr>
          <w:rFonts w:eastAsia="MS Gothic"/>
          <w:szCs w:val="24"/>
          <w:lang w:val="en-US"/>
        </w:rPr>
        <w:t>Intelligent Transport Systems – Guidelines and Objectives”, 2011</w:t>
      </w:r>
    </w:p>
    <w:p w14:paraId="5C55CF66" w14:textId="77777777" w:rsidR="008D2C73" w:rsidRPr="0012390B" w:rsidRDefault="008D2C73" w:rsidP="008D2C73">
      <w:pPr>
        <w:pStyle w:val="enumlev1"/>
        <w:numPr>
          <w:ilvl w:val="0"/>
          <w:numId w:val="25"/>
        </w:numPr>
        <w:tabs>
          <w:tab w:val="clear" w:pos="1134"/>
          <w:tab w:val="left" w:pos="426"/>
        </w:tabs>
        <w:spacing w:before="0"/>
        <w:ind w:left="426" w:hanging="426"/>
        <w:jc w:val="both"/>
        <w:rPr>
          <w:szCs w:val="24"/>
          <w:lang w:val="en-US" w:eastAsia="ja-JP"/>
        </w:rPr>
      </w:pPr>
      <w:r w:rsidRPr="0012390B">
        <w:rPr>
          <w:szCs w:val="24"/>
          <w:lang w:val="en-US" w:eastAsia="ja-JP"/>
        </w:rPr>
        <w:t xml:space="preserve">Recommendation ITU-R </w:t>
      </w:r>
      <w:r w:rsidRPr="0012390B">
        <w:rPr>
          <w:rFonts w:eastAsia="MS Gothic"/>
          <w:szCs w:val="24"/>
          <w:lang w:val="en-US"/>
        </w:rPr>
        <w:t>M.1453-2,</w:t>
      </w:r>
      <w:r w:rsidRPr="0012390B">
        <w:rPr>
          <w:szCs w:val="24"/>
          <w:lang w:val="en-US" w:eastAsia="ja-JP"/>
        </w:rPr>
        <w:t xml:space="preserve"> “</w:t>
      </w:r>
      <w:r w:rsidRPr="0012390B">
        <w:rPr>
          <w:rFonts w:eastAsia="MS Gothic"/>
          <w:szCs w:val="24"/>
          <w:lang w:val="en-US"/>
        </w:rPr>
        <w:t>Intelligent Transport Systems – Dedicated Short Range Communications at 5.8 GHz”, 2005.</w:t>
      </w:r>
    </w:p>
    <w:p w14:paraId="63027357" w14:textId="77777777" w:rsidR="008D2C73" w:rsidRPr="0012390B" w:rsidRDefault="008D2C73" w:rsidP="008D2C73">
      <w:pPr>
        <w:pStyle w:val="enumlev1"/>
        <w:numPr>
          <w:ilvl w:val="0"/>
          <w:numId w:val="25"/>
        </w:numPr>
        <w:tabs>
          <w:tab w:val="clear" w:pos="1134"/>
          <w:tab w:val="left" w:pos="426"/>
        </w:tabs>
        <w:spacing w:before="0"/>
        <w:ind w:left="426" w:hanging="426"/>
        <w:jc w:val="both"/>
        <w:rPr>
          <w:szCs w:val="24"/>
          <w:lang w:val="en-US" w:eastAsia="ja-JP"/>
        </w:rPr>
      </w:pPr>
      <w:r w:rsidRPr="0012390B">
        <w:rPr>
          <w:szCs w:val="24"/>
          <w:lang w:val="en-US" w:eastAsia="ja-JP"/>
        </w:rPr>
        <w:t xml:space="preserve">Recommendation ITU-R </w:t>
      </w:r>
      <w:r w:rsidRPr="0012390B">
        <w:rPr>
          <w:rFonts w:eastAsia="MS Gothic"/>
          <w:szCs w:val="24"/>
          <w:lang w:val="en-US"/>
        </w:rPr>
        <w:t>M.1452-2,</w:t>
      </w:r>
      <w:r w:rsidRPr="0012390B">
        <w:rPr>
          <w:szCs w:val="24"/>
          <w:lang w:val="en-US" w:eastAsia="ja-JP"/>
        </w:rPr>
        <w:t xml:space="preserve"> “</w:t>
      </w:r>
      <w:r w:rsidRPr="0012390B">
        <w:rPr>
          <w:rFonts w:eastAsia="MS Gothic"/>
          <w:szCs w:val="24"/>
          <w:lang w:val="en-US"/>
        </w:rPr>
        <w:t>Millimetr</w:t>
      </w:r>
      <w:r w:rsidRPr="0012390B">
        <w:rPr>
          <w:rFonts w:eastAsia="MS Gothic"/>
          <w:szCs w:val="24"/>
          <w:lang w:val="en-US" w:eastAsia="ja-JP"/>
        </w:rPr>
        <w:t>e</w:t>
      </w:r>
      <w:r w:rsidRPr="0012390B">
        <w:rPr>
          <w:rFonts w:eastAsia="MS Gothic"/>
          <w:szCs w:val="24"/>
          <w:lang w:val="en-US"/>
        </w:rPr>
        <w:t xml:space="preserve"> wave radiocommunication systems for ITS applications”, </w:t>
      </w:r>
      <w:r w:rsidRPr="0012390B">
        <w:rPr>
          <w:rFonts w:eastAsia="MS Gothic"/>
          <w:szCs w:val="24"/>
        </w:rPr>
        <w:t>2012.</w:t>
      </w:r>
      <w:r w:rsidRPr="0012390B">
        <w:rPr>
          <w:szCs w:val="24"/>
          <w:lang w:eastAsia="ja-JP"/>
        </w:rPr>
        <w:tab/>
      </w:r>
    </w:p>
    <w:p w14:paraId="700FB109" w14:textId="77777777" w:rsidR="008D2C73" w:rsidRPr="0012390B" w:rsidRDefault="008D2C73" w:rsidP="008D2C73">
      <w:pPr>
        <w:pStyle w:val="enumlev1"/>
        <w:numPr>
          <w:ilvl w:val="0"/>
          <w:numId w:val="25"/>
        </w:numPr>
        <w:tabs>
          <w:tab w:val="clear" w:pos="1134"/>
          <w:tab w:val="left" w:pos="426"/>
        </w:tabs>
        <w:spacing w:before="0"/>
        <w:ind w:left="426" w:hanging="426"/>
        <w:jc w:val="both"/>
        <w:rPr>
          <w:szCs w:val="24"/>
          <w:lang w:val="en-US" w:eastAsia="ja-JP"/>
        </w:rPr>
      </w:pPr>
      <w:r w:rsidRPr="0012390B">
        <w:rPr>
          <w:szCs w:val="24"/>
          <w:lang w:val="en-US" w:eastAsia="ja-JP"/>
        </w:rPr>
        <w:t xml:space="preserve">Report ITU-R </w:t>
      </w:r>
      <w:r w:rsidRPr="0012390B">
        <w:rPr>
          <w:rFonts w:eastAsia="MS Gothic"/>
          <w:szCs w:val="24"/>
          <w:lang w:val="en-US"/>
        </w:rPr>
        <w:t xml:space="preserve">M.2228, </w:t>
      </w:r>
      <w:r w:rsidRPr="0012390B">
        <w:rPr>
          <w:szCs w:val="24"/>
          <w:lang w:val="en-US" w:eastAsia="ja-JP"/>
        </w:rPr>
        <w:t>“</w:t>
      </w:r>
      <w:r w:rsidRPr="0012390B">
        <w:rPr>
          <w:rFonts w:eastAsia="MS Gothic"/>
          <w:szCs w:val="24"/>
          <w:lang w:val="en-US"/>
        </w:rPr>
        <w:t xml:space="preserve">Advanced Intelligent Transport Systems (ITS) </w:t>
      </w:r>
      <w:r w:rsidRPr="0012390B">
        <w:rPr>
          <w:rFonts w:eastAsia="MS Gothic"/>
          <w:szCs w:val="24"/>
          <w:lang w:val="en-US" w:eastAsia="ja-JP"/>
        </w:rPr>
        <w:t>r</w:t>
      </w:r>
      <w:r w:rsidRPr="0012390B">
        <w:rPr>
          <w:rFonts w:eastAsia="MS Gothic"/>
          <w:szCs w:val="24"/>
          <w:lang w:val="en-US"/>
        </w:rPr>
        <w:t>adiocommunications”, 2012.</w:t>
      </w:r>
    </w:p>
    <w:p w14:paraId="25079DB5" w14:textId="77777777" w:rsidR="008D2C73" w:rsidRPr="00742A02" w:rsidRDefault="008D2C73" w:rsidP="008D2C73">
      <w:pPr>
        <w:pStyle w:val="ListParagraph"/>
        <w:numPr>
          <w:ilvl w:val="0"/>
          <w:numId w:val="26"/>
        </w:numPr>
        <w:ind w:left="426" w:hanging="426"/>
        <w:contextualSpacing/>
        <w:jc w:val="both"/>
        <w:rPr>
          <w:rFonts w:eastAsia="SimSun"/>
          <w:lang w:eastAsia="zh-CN"/>
        </w:rPr>
      </w:pPr>
      <w:r w:rsidRPr="00F72EA6">
        <w:rPr>
          <w:rFonts w:eastAsia="SimSun"/>
          <w:lang w:eastAsia="zh-CN"/>
        </w:rPr>
        <w:t>Preliminary draft revision of Recommendation ITU-R M.2084-0, “Radio interface standards of vehicle-to-vehicle and vehicle-to-infrastructure communications for intelligent transport systems applications”</w:t>
      </w:r>
      <w:r w:rsidR="008F6B7F" w:rsidRPr="00466C10">
        <w:rPr>
          <w:rFonts w:eastAsia="SimSun"/>
          <w:lang w:eastAsia="zh-CN"/>
        </w:rPr>
        <w:t xml:space="preserve"> (</w:t>
      </w:r>
      <w:hyperlink r:id="rId9" w:history="1">
        <w:r w:rsidR="008F6B7F" w:rsidRPr="00742A02">
          <w:rPr>
            <w:rStyle w:val="Hyperlink"/>
            <w:lang w:val="en-NZ"/>
          </w:rPr>
          <w:t xml:space="preserve">Document </w:t>
        </w:r>
        <w:r w:rsidR="00FF6843" w:rsidRPr="00742A02">
          <w:rPr>
            <w:rStyle w:val="Hyperlink"/>
            <w:lang w:val="en-NZ"/>
          </w:rPr>
          <w:t>5A/650 Annex 30</w:t>
        </w:r>
      </w:hyperlink>
      <w:r w:rsidR="008F6B7F" w:rsidRPr="00F72EA6">
        <w:rPr>
          <w:lang w:val="en-NZ"/>
        </w:rPr>
        <w:t>)</w:t>
      </w:r>
    </w:p>
    <w:p w14:paraId="3039F0E9" w14:textId="77777777" w:rsidR="008D2C73" w:rsidRPr="00742A02" w:rsidRDefault="008D2C73" w:rsidP="00466C10">
      <w:pPr>
        <w:pStyle w:val="ListParagraph"/>
        <w:numPr>
          <w:ilvl w:val="0"/>
          <w:numId w:val="26"/>
        </w:numPr>
        <w:ind w:left="426" w:hanging="426"/>
        <w:contextualSpacing/>
        <w:jc w:val="both"/>
        <w:rPr>
          <w:rFonts w:eastAsiaTheme="minorHAnsi"/>
        </w:rPr>
      </w:pPr>
      <w:r w:rsidRPr="00742A02">
        <w:rPr>
          <w:rFonts w:eastAsia="SimSun"/>
          <w:lang w:eastAsia="zh-CN"/>
        </w:rPr>
        <w:t>Working document towards a preliminary draft new Report ITU-R M.[ITS USAGE], “Intelligent transport systems (ITS) usage in ITU Member States”</w:t>
      </w:r>
      <w:r w:rsidR="008F6B7F" w:rsidRPr="00466C10">
        <w:rPr>
          <w:rFonts w:eastAsia="SimSun"/>
          <w:lang w:eastAsia="zh-CN"/>
        </w:rPr>
        <w:t xml:space="preserve"> (</w:t>
      </w:r>
      <w:hyperlink r:id="rId10" w:history="1">
        <w:r w:rsidR="008F6B7F" w:rsidRPr="00742A02">
          <w:rPr>
            <w:rStyle w:val="Hyperlink"/>
            <w:lang w:val="en-NZ"/>
          </w:rPr>
          <w:t xml:space="preserve">Document </w:t>
        </w:r>
        <w:r w:rsidR="00BD4424" w:rsidRPr="00742A02">
          <w:rPr>
            <w:rStyle w:val="Hyperlink"/>
            <w:lang w:val="en-NZ"/>
          </w:rPr>
          <w:t>5A/650 Annex 29</w:t>
        </w:r>
      </w:hyperlink>
      <w:r w:rsidR="008F6B7F" w:rsidRPr="00F72EA6">
        <w:rPr>
          <w:lang w:val="en-NZ"/>
        </w:rPr>
        <w:t>)</w:t>
      </w:r>
    </w:p>
    <w:p w14:paraId="39DBF16A" w14:textId="77777777" w:rsidR="008D2C73" w:rsidRPr="00742A02" w:rsidRDefault="008D2C73" w:rsidP="00466C10">
      <w:pPr>
        <w:pStyle w:val="ListParagraph"/>
        <w:numPr>
          <w:ilvl w:val="0"/>
          <w:numId w:val="26"/>
        </w:numPr>
        <w:ind w:left="426"/>
        <w:contextualSpacing/>
        <w:jc w:val="both"/>
        <w:rPr>
          <w:rFonts w:eastAsia="SimSun"/>
          <w:lang w:eastAsia="zh-CN"/>
        </w:rPr>
      </w:pPr>
      <w:r w:rsidRPr="00742A02">
        <w:rPr>
          <w:rFonts w:eastAsia="SimSun"/>
          <w:lang w:eastAsia="zh-CN"/>
        </w:rPr>
        <w:t xml:space="preserve">Preliminary draft new Recommendation ITU-R M.[ITS_FRQ], “Harmonization of frequency [bands/ranges] for Intelligent Transport Systems in the mobile service” </w:t>
      </w:r>
      <w:r w:rsidR="008F6B7F" w:rsidRPr="00466C10">
        <w:rPr>
          <w:rFonts w:eastAsia="SimSun"/>
          <w:lang w:eastAsia="zh-CN"/>
        </w:rPr>
        <w:t>(</w:t>
      </w:r>
      <w:hyperlink r:id="rId11" w:history="1">
        <w:r w:rsidR="00BD4424" w:rsidRPr="00742A02">
          <w:rPr>
            <w:rStyle w:val="Hyperlink"/>
            <w:lang w:val="en-NZ"/>
          </w:rPr>
          <w:t>Document 5A/650 Annex</w:t>
        </w:r>
        <w:r w:rsidR="008F6B7F" w:rsidRPr="00742A02">
          <w:rPr>
            <w:rStyle w:val="Hyperlink"/>
            <w:lang w:val="en-NZ"/>
          </w:rPr>
          <w:t xml:space="preserve"> </w:t>
        </w:r>
        <w:r w:rsidR="00BD4424" w:rsidRPr="00742A02">
          <w:rPr>
            <w:rStyle w:val="Hyperlink"/>
            <w:lang w:val="en-NZ"/>
          </w:rPr>
          <w:t>31</w:t>
        </w:r>
      </w:hyperlink>
      <w:r w:rsidR="008F6B7F" w:rsidRPr="00F72EA6">
        <w:rPr>
          <w:lang w:val="en-NZ"/>
        </w:rPr>
        <w:t>)</w:t>
      </w:r>
    </w:p>
    <w:p w14:paraId="45C93005" w14:textId="77777777" w:rsidR="00E73DC9" w:rsidRPr="00466C10" w:rsidRDefault="00820421" w:rsidP="00466C10">
      <w:pPr>
        <w:pStyle w:val="ListParagraph"/>
        <w:numPr>
          <w:ilvl w:val="0"/>
          <w:numId w:val="26"/>
        </w:numPr>
        <w:ind w:left="426"/>
        <w:contextualSpacing/>
        <w:jc w:val="both"/>
        <w:rPr>
          <w:rFonts w:eastAsia="SimSun"/>
          <w:lang w:eastAsia="zh-CN"/>
        </w:rPr>
      </w:pPr>
      <w:r w:rsidRPr="00466C10">
        <w:rPr>
          <w:rFonts w:eastAsia="SimSun"/>
          <w:lang w:eastAsia="zh-CN"/>
        </w:rPr>
        <w:t>P</w:t>
      </w:r>
      <w:r w:rsidR="008D2C73" w:rsidRPr="00820421">
        <w:rPr>
          <w:rFonts w:eastAsia="SimSun"/>
          <w:lang w:eastAsia="zh-CN"/>
        </w:rPr>
        <w:t xml:space="preserve">reliminary draft revision of APT Report on </w:t>
      </w:r>
      <w:r w:rsidR="008D2C73" w:rsidRPr="00466C10">
        <w:rPr>
          <w:rFonts w:eastAsia="SimSun"/>
          <w:lang w:eastAsia="zh-CN"/>
        </w:rPr>
        <w:t>“The Usage of ITS in APT countries” (APT REPORT#18 (REV.</w:t>
      </w:r>
      <w:r w:rsidRPr="00466C10">
        <w:rPr>
          <w:rFonts w:eastAsia="SimSun"/>
          <w:lang w:eastAsia="zh-CN"/>
        </w:rPr>
        <w:t>1</w:t>
      </w:r>
      <w:r w:rsidR="008D2C73" w:rsidRPr="00466C10">
        <w:rPr>
          <w:rFonts w:eastAsia="SimSun"/>
          <w:lang w:eastAsia="zh-CN"/>
        </w:rPr>
        <w:t>)).</w:t>
      </w:r>
      <w:r w:rsidRPr="00466C10">
        <w:rPr>
          <w:rFonts w:eastAsia="SimSun"/>
          <w:lang w:eastAsia="zh-CN"/>
        </w:rPr>
        <w:t xml:space="preserve"> (</w:t>
      </w:r>
      <w:hyperlink r:id="rId12" w:history="1">
        <w:r w:rsidRPr="00466C10">
          <w:rPr>
            <w:rStyle w:val="Hyperlink"/>
            <w:rFonts w:eastAsia="SimSun"/>
            <w:lang w:eastAsia="zh-CN"/>
          </w:rPr>
          <w:t>Document AWG-22/TMP-47</w:t>
        </w:r>
      </w:hyperlink>
      <w:r w:rsidRPr="00466C10">
        <w:rPr>
          <w:rFonts w:eastAsia="SimSun"/>
          <w:lang w:eastAsia="zh-CN"/>
        </w:rPr>
        <w:t>)</w:t>
      </w:r>
    </w:p>
    <w:p w14:paraId="524418B7" w14:textId="77777777" w:rsidR="008D2C73" w:rsidRPr="0012390B" w:rsidRDefault="008E41FF" w:rsidP="00466C10">
      <w:pPr>
        <w:pStyle w:val="ListParagraph"/>
        <w:numPr>
          <w:ilvl w:val="0"/>
          <w:numId w:val="26"/>
        </w:numPr>
        <w:ind w:left="426" w:hanging="426"/>
        <w:contextualSpacing/>
        <w:jc w:val="both"/>
        <w:rPr>
          <w:rFonts w:eastAsiaTheme="minorHAnsi"/>
        </w:rPr>
      </w:pPr>
      <w:r w:rsidRPr="008E41FF">
        <w:lastRenderedPageBreak/>
        <w:t>Working document towards a preliminary draft new Report ITU-R M.[IMT.BY.INDUSTRIES], "The use of terrestrial component of International Mobile Telecommunication (IMT) by industry sectors" (</w:t>
      </w:r>
      <w:hyperlink r:id="rId13" w:history="1">
        <w:r w:rsidRPr="008E41FF">
          <w:rPr>
            <w:rStyle w:val="Hyperlink"/>
          </w:rPr>
          <w:t>Document 5D/875 Attachment 3.13</w:t>
        </w:r>
      </w:hyperlink>
      <w:r w:rsidRPr="008E41FF">
        <w:t>)</w:t>
      </w:r>
    </w:p>
    <w:p w14:paraId="197509B6" w14:textId="77777777" w:rsidR="008D2C73" w:rsidRPr="008D2C73" w:rsidRDefault="008D2C73" w:rsidP="008D2C73">
      <w:pPr>
        <w:rPr>
          <w:lang w:val="en-NZ"/>
        </w:rPr>
      </w:pPr>
    </w:p>
    <w:p w14:paraId="3A024DCE" w14:textId="77777777" w:rsidR="008D2C73" w:rsidRPr="0012390B" w:rsidRDefault="008D2C73" w:rsidP="008D2C73">
      <w:pPr>
        <w:spacing w:after="100" w:afterAutospacing="1"/>
        <w:jc w:val="both"/>
      </w:pPr>
      <w:r w:rsidRPr="0012390B">
        <w:rPr>
          <w:rFonts w:eastAsia="Times New Roman"/>
          <w:lang w:bidi="en-US"/>
        </w:rPr>
        <w:t>The current preliminary draft CPM text for WRC-19 agenda item 1.12 (</w:t>
      </w:r>
      <w:r w:rsidRPr="0012390B">
        <w:rPr>
          <w:lang w:val="en-NZ"/>
        </w:rPr>
        <w:t xml:space="preserve">Document </w:t>
      </w:r>
      <w:hyperlink r:id="rId14" w:history="1">
        <w:r w:rsidRPr="008D2C73">
          <w:rPr>
            <w:rStyle w:val="Hyperlink"/>
            <w:lang w:val="en-NZ"/>
          </w:rPr>
          <w:t>5A/650 Annex 8</w:t>
        </w:r>
      </w:hyperlink>
      <w:r w:rsidRPr="0012390B">
        <w:rPr>
          <w:rFonts w:eastAsia="Times New Roman"/>
          <w:lang w:bidi="en-US"/>
        </w:rPr>
        <w:t>) includes four Methods to satisfy the agenda item:</w:t>
      </w:r>
    </w:p>
    <w:p w14:paraId="056FA4A4" w14:textId="77777777" w:rsidR="008D2C73" w:rsidRPr="0012390B" w:rsidRDefault="008D2C73" w:rsidP="008D2C73">
      <w:pPr>
        <w:pStyle w:val="1"/>
        <w:numPr>
          <w:ilvl w:val="0"/>
          <w:numId w:val="27"/>
        </w:numPr>
        <w:jc w:val="both"/>
        <w:rPr>
          <w:rFonts w:cs="Times New Roman"/>
          <w:b/>
          <w:bCs/>
          <w:lang w:eastAsia="zh-CN"/>
        </w:rPr>
      </w:pPr>
      <w:r w:rsidRPr="0012390B">
        <w:rPr>
          <w:rFonts w:cs="Times New Roman"/>
          <w:b/>
        </w:rPr>
        <w:t xml:space="preserve">Method A </w:t>
      </w:r>
      <w:r w:rsidRPr="0012390B">
        <w:rPr>
          <w:rFonts w:cs="Times New Roman"/>
        </w:rPr>
        <w:t xml:space="preserve">– No change to the Radio Regulations. </w:t>
      </w:r>
      <w:r w:rsidRPr="0012390B">
        <w:rPr>
          <w:rFonts w:eastAsia="Times New Roman" w:cs="Times New Roman"/>
          <w:lang w:bidi="en-US"/>
        </w:rPr>
        <w:t>Harmonisation is achieved by development of a new Recommendation (containing frequency ranges).</w:t>
      </w:r>
    </w:p>
    <w:p w14:paraId="270BE206" w14:textId="77777777" w:rsidR="008D2C73" w:rsidRPr="0012390B" w:rsidRDefault="008D2C73" w:rsidP="008D2C73">
      <w:pPr>
        <w:pStyle w:val="1"/>
        <w:numPr>
          <w:ilvl w:val="0"/>
          <w:numId w:val="27"/>
        </w:numPr>
        <w:jc w:val="both"/>
        <w:rPr>
          <w:rFonts w:cs="Times New Roman"/>
          <w:b/>
          <w:bCs/>
          <w:lang w:eastAsia="zh-CN"/>
        </w:rPr>
      </w:pPr>
      <w:r w:rsidRPr="0012390B">
        <w:rPr>
          <w:rFonts w:cs="Times New Roman"/>
          <w:b/>
          <w:bCs/>
          <w:lang w:eastAsia="zh-CN"/>
        </w:rPr>
        <w:t xml:space="preserve">Method B </w:t>
      </w:r>
      <w:r w:rsidRPr="0012390B">
        <w:rPr>
          <w:rFonts w:cs="Times New Roman"/>
          <w:lang w:eastAsia="zh-CN"/>
        </w:rPr>
        <w:t xml:space="preserve">– Add a new Resolution </w:t>
      </w:r>
      <w:r w:rsidRPr="0012390B">
        <w:rPr>
          <w:rFonts w:cs="Times New Roman"/>
          <w:b/>
          <w:bCs/>
          <w:lang w:eastAsia="zh-CN"/>
        </w:rPr>
        <w:t>XXX (WRC-19)</w:t>
      </w:r>
      <w:r w:rsidRPr="0012390B">
        <w:rPr>
          <w:rFonts w:eastAsia="Times New Roman" w:cs="Times New Roman"/>
          <w:lang w:bidi="en-US"/>
        </w:rPr>
        <w:t>, that:</w:t>
      </w:r>
      <w:r w:rsidRPr="0012390B">
        <w:rPr>
          <w:rFonts w:cs="Times New Roman"/>
          <w:lang w:eastAsia="zh-CN"/>
        </w:rPr>
        <w:t xml:space="preserve"> </w:t>
      </w:r>
    </w:p>
    <w:p w14:paraId="0DEACDBC" w14:textId="77777777" w:rsidR="008D2C73" w:rsidRPr="0012390B" w:rsidRDefault="008D2C73" w:rsidP="008D2C73">
      <w:pPr>
        <w:numPr>
          <w:ilvl w:val="1"/>
          <w:numId w:val="27"/>
        </w:numPr>
        <w:spacing w:after="100" w:afterAutospacing="1"/>
        <w:contextualSpacing/>
        <w:jc w:val="both"/>
        <w:rPr>
          <w:rFonts w:eastAsia="Times New Roman"/>
          <w:lang w:bidi="en-US"/>
        </w:rPr>
      </w:pPr>
      <w:r w:rsidRPr="0012390B">
        <w:rPr>
          <w:rFonts w:eastAsia="Times New Roman"/>
          <w:lang w:bidi="en-US"/>
        </w:rPr>
        <w:t>B1 – refers to a new Recommendation (ITS-FRQ) containing the harmonised frequency ranges; or</w:t>
      </w:r>
    </w:p>
    <w:p w14:paraId="03E358B4" w14:textId="77777777" w:rsidR="008D2C73" w:rsidRPr="0012390B" w:rsidRDefault="008D2C73" w:rsidP="008D2C73">
      <w:pPr>
        <w:numPr>
          <w:ilvl w:val="1"/>
          <w:numId w:val="27"/>
        </w:numPr>
        <w:spacing w:after="100" w:afterAutospacing="1"/>
        <w:contextualSpacing/>
        <w:jc w:val="both"/>
        <w:rPr>
          <w:rFonts w:asciiTheme="minorHAnsi" w:eastAsia="Times New Roman" w:hAnsiTheme="minorHAnsi"/>
          <w:sz w:val="22"/>
          <w:szCs w:val="28"/>
          <w:lang w:bidi="en-US"/>
        </w:rPr>
      </w:pPr>
      <w:r w:rsidRPr="0012390B">
        <w:rPr>
          <w:rFonts w:eastAsia="Times New Roman"/>
          <w:lang w:bidi="en-US"/>
        </w:rPr>
        <w:t>B2 – explicitly includes the harmonised frequency ranges.</w:t>
      </w:r>
    </w:p>
    <w:p w14:paraId="43CE95BB" w14:textId="77777777" w:rsidR="008D2C73" w:rsidRPr="0012390B" w:rsidRDefault="008D2C73" w:rsidP="008D2C73">
      <w:pPr>
        <w:pStyle w:val="1"/>
        <w:numPr>
          <w:ilvl w:val="0"/>
          <w:numId w:val="27"/>
        </w:numPr>
        <w:jc w:val="both"/>
        <w:rPr>
          <w:rFonts w:cs="Times New Roman"/>
          <w:b/>
          <w:bCs/>
          <w:lang w:eastAsia="zh-CN"/>
        </w:rPr>
      </w:pPr>
      <w:r w:rsidRPr="0012390B">
        <w:rPr>
          <w:rFonts w:cs="Times New Roman"/>
          <w:b/>
          <w:iCs/>
        </w:rPr>
        <w:t xml:space="preserve">Method C – </w:t>
      </w:r>
      <w:r w:rsidRPr="0012390B">
        <w:rPr>
          <w:rFonts w:cs="Times New Roman"/>
          <w:iCs/>
        </w:rPr>
        <w:t>Add</w:t>
      </w:r>
      <w:r w:rsidRPr="0012390B">
        <w:rPr>
          <w:rFonts w:cs="Times New Roman"/>
          <w:b/>
          <w:iCs/>
        </w:rPr>
        <w:t xml:space="preserve"> </w:t>
      </w:r>
      <w:r w:rsidRPr="0012390B">
        <w:rPr>
          <w:rFonts w:cs="Times New Roman"/>
          <w:iCs/>
        </w:rPr>
        <w:t xml:space="preserve">footnotes </w:t>
      </w:r>
      <w:r w:rsidRPr="0012390B">
        <w:rPr>
          <w:rFonts w:cs="Times New Roman"/>
          <w:iCs/>
          <w:lang w:eastAsia="ja-JP"/>
        </w:rPr>
        <w:t>to the relevant parts of</w:t>
      </w:r>
      <w:r w:rsidRPr="0012390B">
        <w:rPr>
          <w:rFonts w:cs="Times New Roman"/>
          <w:b/>
          <w:iCs/>
        </w:rPr>
        <w:t xml:space="preserve"> </w:t>
      </w:r>
      <w:r w:rsidRPr="0012390B">
        <w:rPr>
          <w:rFonts w:cs="Times New Roman"/>
        </w:rPr>
        <w:t>Radio Regulations which refer to</w:t>
      </w:r>
      <w:r w:rsidRPr="0012390B">
        <w:rPr>
          <w:rFonts w:cs="Times New Roman"/>
          <w:iCs/>
        </w:rPr>
        <w:t xml:space="preserve"> most recent version of Recommendation ITU-R M.[ITS_FRQ]</w:t>
      </w:r>
      <w:r w:rsidRPr="0012390B">
        <w:rPr>
          <w:rFonts w:cs="Times New Roman"/>
        </w:rPr>
        <w:t xml:space="preserve">. </w:t>
      </w:r>
    </w:p>
    <w:p w14:paraId="67530471" w14:textId="77777777" w:rsidR="008D2C73" w:rsidRPr="0012390B" w:rsidRDefault="008D2C73" w:rsidP="008D2C73">
      <w:pPr>
        <w:pStyle w:val="1"/>
        <w:numPr>
          <w:ilvl w:val="0"/>
          <w:numId w:val="27"/>
        </w:numPr>
        <w:jc w:val="both"/>
        <w:rPr>
          <w:rFonts w:cs="Times New Roman"/>
          <w:b/>
          <w:iCs/>
        </w:rPr>
      </w:pPr>
      <w:r w:rsidRPr="0012390B">
        <w:rPr>
          <w:rFonts w:cs="Times New Roman"/>
          <w:b/>
          <w:iCs/>
        </w:rPr>
        <w:t xml:space="preserve">Method D – </w:t>
      </w:r>
      <w:r w:rsidRPr="0012390B">
        <w:rPr>
          <w:rFonts w:cs="Times New Roman"/>
          <w:iCs/>
        </w:rPr>
        <w:t>Add</w:t>
      </w:r>
      <w:r w:rsidRPr="0012390B">
        <w:rPr>
          <w:rFonts w:cs="Times New Roman"/>
          <w:b/>
          <w:iCs/>
        </w:rPr>
        <w:t xml:space="preserve"> </w:t>
      </w:r>
      <w:r w:rsidRPr="0012390B">
        <w:rPr>
          <w:rFonts w:cs="Times New Roman"/>
          <w:iCs/>
        </w:rPr>
        <w:t xml:space="preserve">footnotes </w:t>
      </w:r>
      <w:r w:rsidRPr="0012390B">
        <w:rPr>
          <w:rFonts w:cs="Times New Roman"/>
        </w:rPr>
        <w:t>to the relevant parts of Article 5 in the Radio Regulations. [Add a new WRC Resolution</w:t>
      </w:r>
      <w:r w:rsidRPr="0012390B">
        <w:rPr>
          <w:rFonts w:cs="Times New Roman"/>
          <w:b/>
          <w:iCs/>
        </w:rPr>
        <w:t xml:space="preserve"> [B112 ITS] (WRC-19)</w:t>
      </w:r>
      <w:r w:rsidRPr="0012390B">
        <w:rPr>
          <w:rFonts w:cs="Times New Roman"/>
          <w:iCs/>
        </w:rPr>
        <w:t>]</w:t>
      </w:r>
      <w:r w:rsidRPr="0012390B">
        <w:rPr>
          <w:rFonts w:cs="Times New Roman"/>
          <w:b/>
          <w:iCs/>
        </w:rPr>
        <w:t xml:space="preserve"> </w:t>
      </w:r>
    </w:p>
    <w:p w14:paraId="76DE5743" w14:textId="77777777" w:rsidR="008D2C73" w:rsidRDefault="008D2C73" w:rsidP="008D2C73">
      <w:pPr>
        <w:jc w:val="both"/>
        <w:rPr>
          <w:b/>
          <w:iCs/>
        </w:rPr>
      </w:pPr>
      <w:r w:rsidRPr="0012390B">
        <w:t xml:space="preserve"> All methods above request to s</w:t>
      </w:r>
      <w:r w:rsidRPr="0012390B">
        <w:rPr>
          <w:lang w:eastAsia="zh-CN"/>
        </w:rPr>
        <w:t xml:space="preserve">uppress Resolution </w:t>
      </w:r>
      <w:r w:rsidRPr="0012390B">
        <w:rPr>
          <w:b/>
          <w:bCs/>
          <w:lang w:eastAsia="zh-CN"/>
        </w:rPr>
        <w:t>237 (WRC-15).</w:t>
      </w:r>
      <w:r>
        <w:rPr>
          <w:b/>
          <w:bCs/>
          <w:lang w:eastAsia="zh-CN"/>
        </w:rPr>
        <w:t xml:space="preserve"> </w:t>
      </w:r>
    </w:p>
    <w:p w14:paraId="4AC69AFA" w14:textId="77777777" w:rsidR="00B64A60" w:rsidRPr="00441526" w:rsidRDefault="008D2C73" w:rsidP="00466C10">
      <w:pPr>
        <w:ind w:left="348"/>
        <w:rPr>
          <w:lang w:val="en-NZ"/>
        </w:rPr>
      </w:pPr>
      <w:r w:rsidDel="008D2C73">
        <w:rPr>
          <w:lang w:val="en-NZ"/>
        </w:rPr>
        <w:t xml:space="preserve"> </w:t>
      </w:r>
    </w:p>
    <w:p w14:paraId="4034498E" w14:textId="77777777" w:rsidR="00B64A60" w:rsidRPr="00441526" w:rsidRDefault="00B64A60" w:rsidP="00B64A60">
      <w:pPr>
        <w:spacing w:after="120"/>
        <w:jc w:val="both"/>
        <w:rPr>
          <w:b/>
          <w:lang w:val="en-NZ" w:eastAsia="ko-KR"/>
        </w:rPr>
      </w:pPr>
      <w:r w:rsidRPr="00441526">
        <w:rPr>
          <w:b/>
          <w:lang w:val="en-NZ" w:eastAsia="ko-KR"/>
        </w:rPr>
        <w:t xml:space="preserve">2. </w:t>
      </w:r>
      <w:r w:rsidRPr="00441526">
        <w:rPr>
          <w:b/>
          <w:lang w:val="en-NZ" w:eastAsia="ko-KR"/>
        </w:rPr>
        <w:tab/>
        <w:t>Documents</w:t>
      </w:r>
    </w:p>
    <w:p w14:paraId="30F6932B" w14:textId="77777777" w:rsidR="00B219BF" w:rsidRPr="00173518" w:rsidRDefault="00DA38C9" w:rsidP="0012390B">
      <w:pPr>
        <w:numPr>
          <w:ilvl w:val="0"/>
          <w:numId w:val="18"/>
        </w:numPr>
        <w:ind w:leftChars="145" w:left="708"/>
        <w:jc w:val="both"/>
        <w:rPr>
          <w:lang w:val="en-NZ"/>
        </w:rPr>
      </w:pPr>
      <w:r w:rsidRPr="00173518">
        <w:rPr>
          <w:lang w:val="en-NZ"/>
        </w:rPr>
        <w:t>Input Documents</w:t>
      </w:r>
      <w:r w:rsidR="00B72A0E" w:rsidRPr="00173518">
        <w:rPr>
          <w:lang w:val="en-NZ"/>
        </w:rPr>
        <w:t>:</w:t>
      </w:r>
      <w:r w:rsidRPr="00173518">
        <w:rPr>
          <w:lang w:val="en-NZ"/>
        </w:rPr>
        <w:t xml:space="preserve"> APG19-3/INP-08 (AWG)</w:t>
      </w:r>
      <w:r w:rsidR="00895F24" w:rsidRPr="0012390B">
        <w:rPr>
          <w:lang w:val="en-NZ"/>
        </w:rPr>
        <w:t>,</w:t>
      </w:r>
      <w:r w:rsidRPr="0012390B">
        <w:rPr>
          <w:lang w:val="en-NZ"/>
        </w:rPr>
        <w:t xml:space="preserve"> APG19-3/INP-21 (KOR), APG19-3/INP-34 (NZL), APG19-3/INP-41 (AUS), APG19-3/INP-49 (J), APG19-3/INP-59 (THA), APG19-3/INP-78 (INS), APG19-3/INP-82 (VTN), APG19-3/INP-86 (CHN)</w:t>
      </w:r>
    </w:p>
    <w:p w14:paraId="7E78B681" w14:textId="77777777" w:rsidR="00B64A60" w:rsidRPr="00173518" w:rsidRDefault="00B64A60" w:rsidP="0012390B">
      <w:pPr>
        <w:numPr>
          <w:ilvl w:val="0"/>
          <w:numId w:val="18"/>
        </w:numPr>
        <w:ind w:leftChars="145" w:left="708"/>
        <w:jc w:val="both"/>
        <w:rPr>
          <w:lang w:val="en-NZ"/>
        </w:rPr>
      </w:pPr>
      <w:r w:rsidRPr="00173518">
        <w:rPr>
          <w:lang w:val="en-NZ"/>
        </w:rPr>
        <w:t>Information Documents</w:t>
      </w:r>
      <w:r w:rsidR="00B72A0E" w:rsidRPr="00173518">
        <w:rPr>
          <w:lang w:val="en-NZ"/>
        </w:rPr>
        <w:t>:</w:t>
      </w:r>
      <w:r w:rsidRPr="00173518">
        <w:rPr>
          <w:lang w:val="en-NZ"/>
        </w:rPr>
        <w:t xml:space="preserve"> </w:t>
      </w:r>
      <w:r w:rsidR="00B72A0E" w:rsidRPr="0012390B">
        <w:rPr>
          <w:lang w:val="en-NZ"/>
        </w:rPr>
        <w:t>APG19-3/INF-06 (CEPT), APG19-3/INF-08</w:t>
      </w:r>
      <w:r w:rsidR="00D55195">
        <w:rPr>
          <w:lang w:val="en-NZ"/>
        </w:rPr>
        <w:t>(Rev.1)</w:t>
      </w:r>
      <w:r w:rsidR="00D55195" w:rsidRPr="00DE6B4E">
        <w:rPr>
          <w:lang w:val="en-NZ"/>
        </w:rPr>
        <w:t xml:space="preserve"> </w:t>
      </w:r>
      <w:r w:rsidR="00B72A0E" w:rsidRPr="0012390B">
        <w:rPr>
          <w:lang w:val="en-NZ"/>
        </w:rPr>
        <w:t>(CITEL)</w:t>
      </w:r>
      <w:r w:rsidR="00892424" w:rsidRPr="00173518">
        <w:rPr>
          <w:lang w:val="en-NZ"/>
        </w:rPr>
        <w:t>, APG19-3/INF-09 (IARU)</w:t>
      </w:r>
    </w:p>
    <w:p w14:paraId="77FE638D" w14:textId="77777777" w:rsidR="00B56099" w:rsidRPr="00441526" w:rsidRDefault="00B56099">
      <w:pPr>
        <w:rPr>
          <w:b/>
          <w:lang w:val="en-NZ" w:eastAsia="ko-KR"/>
        </w:rPr>
      </w:pPr>
    </w:p>
    <w:p w14:paraId="753E1F9D" w14:textId="77777777" w:rsidR="00B64A60" w:rsidRPr="00441526" w:rsidRDefault="00B64A60" w:rsidP="00B64A60">
      <w:pPr>
        <w:spacing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6B4FD2ED" w14:textId="77777777" w:rsidR="00402B1B" w:rsidRDefault="004A2F96" w:rsidP="00466C10">
      <w:pPr>
        <w:spacing w:after="120"/>
        <w:rPr>
          <w:rFonts w:eastAsiaTheme="minorEastAsia"/>
          <w:b/>
          <w:bCs/>
          <w:lang w:val="en-GB"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705BC8E7" w14:textId="77777777" w:rsidR="00402B1B" w:rsidRDefault="00402B1B" w:rsidP="00402B1B">
      <w:pPr>
        <w:rPr>
          <w:b/>
          <w:bCs/>
        </w:rPr>
      </w:pPr>
      <w:r>
        <w:rPr>
          <w:rFonts w:eastAsiaTheme="minorEastAsia"/>
          <w:b/>
          <w:bCs/>
          <w:lang w:val="en-GB" w:eastAsia="ko-KR"/>
        </w:rPr>
        <w:t>3.1.1</w:t>
      </w:r>
      <w:r>
        <w:rPr>
          <w:rFonts w:eastAsiaTheme="minorEastAsia"/>
          <w:b/>
          <w:bCs/>
          <w:lang w:val="en-GB" w:eastAsia="ko-KR"/>
        </w:rPr>
        <w:tab/>
      </w:r>
      <w:r w:rsidRPr="006D6FB8">
        <w:rPr>
          <w:rFonts w:eastAsiaTheme="minorEastAsia"/>
          <w:b/>
          <w:bCs/>
          <w:lang w:val="en-GB" w:eastAsia="ko-KR"/>
        </w:rPr>
        <w:t xml:space="preserve">Republic of Korea </w:t>
      </w:r>
      <w:r w:rsidRPr="006D6FB8">
        <w:rPr>
          <w:b/>
          <w:bCs/>
          <w:lang w:eastAsia="ko-KR"/>
        </w:rPr>
        <w:t xml:space="preserve">- </w:t>
      </w:r>
      <w:r w:rsidRPr="006D6FB8">
        <w:rPr>
          <w:b/>
          <w:bCs/>
          <w:lang w:val="en-NZ" w:eastAsia="ko-KR"/>
        </w:rPr>
        <w:t>Document</w:t>
      </w:r>
      <w:r w:rsidRPr="006D6FB8">
        <w:rPr>
          <w:b/>
          <w:lang w:val="en-NZ" w:eastAsia="ko-KR"/>
        </w:rPr>
        <w:t xml:space="preserve"> APG19-3/</w:t>
      </w:r>
      <w:r w:rsidRPr="006D6FB8">
        <w:rPr>
          <w:b/>
          <w:bCs/>
        </w:rPr>
        <w:t xml:space="preserve">INP-21 </w:t>
      </w:r>
    </w:p>
    <w:p w14:paraId="0C373B09" w14:textId="77777777" w:rsidR="00871976" w:rsidRDefault="00871976" w:rsidP="00871976">
      <w:pPr>
        <w:spacing w:before="120"/>
        <w:jc w:val="both"/>
        <w:rPr>
          <w:iCs/>
          <w:lang w:eastAsia="ko-KR"/>
        </w:rPr>
      </w:pPr>
      <w:r w:rsidRPr="00871976">
        <w:rPr>
          <w:iCs/>
          <w:lang w:eastAsia="ko-KR"/>
        </w:rPr>
        <w:t xml:space="preserve">Republic of Korea proposes modifications to the APT Preliminary View adopted at </w:t>
      </w:r>
      <w:r w:rsidR="002678C9">
        <w:rPr>
          <w:iCs/>
          <w:lang w:eastAsia="ko-KR"/>
        </w:rPr>
        <w:t xml:space="preserve">the </w:t>
      </w:r>
      <w:r w:rsidRPr="00871976">
        <w:rPr>
          <w:iCs/>
          <w:lang w:eastAsia="ko-KR"/>
        </w:rPr>
        <w:t>APG19-2 meeting</w:t>
      </w:r>
      <w:r w:rsidR="002678C9">
        <w:rPr>
          <w:iCs/>
          <w:lang w:eastAsia="ko-KR"/>
        </w:rPr>
        <w:t xml:space="preserve"> </w:t>
      </w:r>
      <w:r w:rsidR="002678C9" w:rsidRPr="002678C9">
        <w:rPr>
          <w:iCs/>
          <w:lang w:eastAsia="ko-KR"/>
        </w:rPr>
        <w:t>as stated below</w:t>
      </w:r>
      <w:r w:rsidRPr="00871976">
        <w:rPr>
          <w:iCs/>
          <w:lang w:eastAsia="ko-KR"/>
        </w:rPr>
        <w:t>:</w:t>
      </w:r>
    </w:p>
    <w:p w14:paraId="3DE07826" w14:textId="77777777" w:rsidR="00402B1B" w:rsidRPr="006D6FB8" w:rsidRDefault="00871976" w:rsidP="00871976">
      <w:pPr>
        <w:spacing w:before="120"/>
        <w:jc w:val="both"/>
        <w:rPr>
          <w:rFonts w:eastAsiaTheme="minorEastAsia"/>
          <w:lang w:eastAsia="ko-KR"/>
        </w:rPr>
      </w:pPr>
      <w:r>
        <w:rPr>
          <w:iCs/>
          <w:lang w:eastAsia="ko-KR"/>
        </w:rPr>
        <w:t>“</w:t>
      </w:r>
      <w:r w:rsidR="00402B1B" w:rsidRPr="006D6FB8">
        <w:rPr>
          <w:iCs/>
          <w:lang w:eastAsia="ko-KR"/>
        </w:rPr>
        <w:t xml:space="preserve">APT Members support </w:t>
      </w:r>
      <w:r w:rsidR="00402B1B" w:rsidRPr="006D6FB8">
        <w:t xml:space="preserve">studies under Resolution </w:t>
      </w:r>
      <w:r w:rsidR="00402B1B" w:rsidRPr="006D6FB8">
        <w:rPr>
          <w:b/>
        </w:rPr>
        <w:t>237 (WRC-15)</w:t>
      </w:r>
      <w:r w:rsidR="00402B1B" w:rsidRPr="006D6FB8">
        <w:t xml:space="preserve"> toward possible harmonization of frequency bands in existing mobile-service allocations for the implementation of evolving Intelligent Transport Systems (ITS)</w:t>
      </w:r>
      <w:r>
        <w:t xml:space="preserve"> </w:t>
      </w:r>
      <w:r w:rsidRPr="006D6FB8">
        <w:t>through ITU-R Recommendations/Reports</w:t>
      </w:r>
      <w:r w:rsidRPr="006D6FB8">
        <w:rPr>
          <w:lang w:eastAsia="ko-KR"/>
        </w:rPr>
        <w:t>.</w:t>
      </w:r>
      <w:r>
        <w:rPr>
          <w:lang w:eastAsia="ko-KR"/>
        </w:rPr>
        <w:t xml:space="preserve"> </w:t>
      </w:r>
      <w:r w:rsidRPr="006D6FB8">
        <w:rPr>
          <w:rFonts w:eastAsiaTheme="minorEastAsia"/>
          <w:spacing w:val="-4"/>
          <w:lang w:eastAsia="ko-KR"/>
        </w:rPr>
        <w:t>APT Members are</w:t>
      </w:r>
      <w:r w:rsidRPr="006D6FB8">
        <w:rPr>
          <w:rFonts w:eastAsiaTheme="minorEastAsia"/>
          <w:lang w:eastAsia="zh-CN"/>
        </w:rPr>
        <w:t xml:space="preserve"> of the view that there is no need to change the Radio Regulations (RR)</w:t>
      </w:r>
      <w:r w:rsidR="00402B1B" w:rsidRPr="006D6FB8">
        <w:rPr>
          <w:rFonts w:eastAsiaTheme="minorEastAsia"/>
          <w:lang w:eastAsia="ko-KR"/>
        </w:rPr>
        <w:t>.</w:t>
      </w:r>
      <w:r>
        <w:rPr>
          <w:rFonts w:eastAsiaTheme="minorEastAsia"/>
          <w:lang w:eastAsia="ko-KR"/>
        </w:rPr>
        <w:t>”</w:t>
      </w:r>
    </w:p>
    <w:p w14:paraId="676E2644" w14:textId="77777777" w:rsidR="00402B1B" w:rsidRPr="006D6FB8" w:rsidRDefault="00402B1B" w:rsidP="00402B1B">
      <w:pPr>
        <w:jc w:val="both"/>
        <w:rPr>
          <w:rFonts w:eastAsiaTheme="minorEastAsia"/>
          <w:color w:val="FF0000"/>
          <w:lang w:eastAsia="ko-KR"/>
        </w:rPr>
      </w:pPr>
    </w:p>
    <w:p w14:paraId="07BEDE17" w14:textId="77777777" w:rsidR="00402B1B" w:rsidRDefault="00402B1B" w:rsidP="00402B1B">
      <w:pPr>
        <w:rPr>
          <w:b/>
          <w:bCs/>
          <w:lang w:val="en-NZ"/>
        </w:rPr>
      </w:pPr>
      <w:r>
        <w:rPr>
          <w:b/>
          <w:bCs/>
          <w:lang w:val="en-NZ" w:eastAsia="ko-KR"/>
        </w:rPr>
        <w:t>3.1.2</w:t>
      </w:r>
      <w:r>
        <w:rPr>
          <w:b/>
          <w:bCs/>
          <w:lang w:val="en-NZ" w:eastAsia="ko-KR"/>
        </w:rPr>
        <w:tab/>
      </w:r>
      <w:r w:rsidRPr="006D6FB8">
        <w:rPr>
          <w:b/>
          <w:bCs/>
          <w:lang w:val="en-NZ" w:eastAsia="ko-KR"/>
        </w:rPr>
        <w:t>New Zealand -</w:t>
      </w:r>
      <w:r w:rsidRPr="006D6FB8">
        <w:rPr>
          <w:lang w:val="en-NZ" w:eastAsia="ko-KR"/>
        </w:rPr>
        <w:t xml:space="preserve"> </w:t>
      </w:r>
      <w:r w:rsidRPr="006D6FB8">
        <w:rPr>
          <w:b/>
          <w:lang w:val="en-NZ" w:eastAsia="ko-KR"/>
        </w:rPr>
        <w:t>Document APG19-3/</w:t>
      </w:r>
      <w:r w:rsidRPr="006D6FB8">
        <w:rPr>
          <w:b/>
          <w:bCs/>
          <w:lang w:val="en-NZ"/>
        </w:rPr>
        <w:t xml:space="preserve">INP-34 </w:t>
      </w:r>
    </w:p>
    <w:p w14:paraId="405AD499" w14:textId="77777777" w:rsidR="00B219BF" w:rsidRDefault="00402B1B" w:rsidP="00073BF0">
      <w:pPr>
        <w:spacing w:before="120"/>
        <w:jc w:val="both"/>
        <w:rPr>
          <w:lang w:val="en-NZ"/>
        </w:rPr>
      </w:pPr>
      <w:r w:rsidRPr="006D6FB8">
        <w:rPr>
          <w:lang w:val="en-NZ"/>
        </w:rPr>
        <w:t xml:space="preserve">New Zealand supports the ITU-R studies undertaken in accordance with Resolution </w:t>
      </w:r>
      <w:r w:rsidRPr="006D6FB8">
        <w:rPr>
          <w:b/>
          <w:lang w:val="en-NZ"/>
        </w:rPr>
        <w:t>237 (WRC-15)</w:t>
      </w:r>
      <w:r w:rsidRPr="006D6FB8">
        <w:rPr>
          <w:lang w:val="en-NZ"/>
        </w:rPr>
        <w:t>, in order to harmonise frequency bands within existing mobile service allocations for the implementation of evolving Intelligent Transport Systems (ITS).</w:t>
      </w:r>
    </w:p>
    <w:p w14:paraId="779ACCEB" w14:textId="77777777" w:rsidR="00402B1B" w:rsidRPr="006D6FB8" w:rsidRDefault="00402B1B" w:rsidP="00402B1B">
      <w:pPr>
        <w:jc w:val="both"/>
        <w:rPr>
          <w:lang w:val="en-NZ"/>
        </w:rPr>
      </w:pPr>
      <w:r w:rsidRPr="006D6FB8">
        <w:rPr>
          <w:lang w:val="en-NZ"/>
        </w:rPr>
        <w:t xml:space="preserve">New Zealand is of the view that the new generation of co-operative ITS should operate within those frequency bands that are already being adopted for ITS use on a regional (or sub-regional) basis within existing mobile service allocations, or an immediately adjacent frequency band that is also appropriate for such use. </w:t>
      </w:r>
    </w:p>
    <w:p w14:paraId="08B43D53" w14:textId="77777777" w:rsidR="00402B1B" w:rsidRPr="006D6FB8" w:rsidRDefault="00402B1B" w:rsidP="00402B1B">
      <w:pPr>
        <w:jc w:val="both"/>
        <w:rPr>
          <w:lang w:val="en-NZ"/>
        </w:rPr>
      </w:pPr>
      <w:r w:rsidRPr="006D6FB8">
        <w:rPr>
          <w:lang w:val="en-NZ"/>
        </w:rPr>
        <w:t>New Zealand is also of the view that Agenda item 1.12 can be satisfied through non-mandatory ITU-R Recommendation and/or Report without any changes to the Radio Regulations.</w:t>
      </w:r>
    </w:p>
    <w:p w14:paraId="05A146A3" w14:textId="77777777" w:rsidR="00402B1B" w:rsidRPr="006D6FB8" w:rsidRDefault="00402B1B" w:rsidP="00402B1B">
      <w:pPr>
        <w:jc w:val="both"/>
        <w:rPr>
          <w:b/>
          <w:bCs/>
          <w:lang w:val="en-NZ"/>
        </w:rPr>
      </w:pPr>
    </w:p>
    <w:p w14:paraId="171F9882" w14:textId="77777777" w:rsidR="00402B1B" w:rsidRDefault="00AA4952" w:rsidP="00402B1B">
      <w:pPr>
        <w:rPr>
          <w:b/>
          <w:bCs/>
          <w:lang w:val="fr-FR"/>
        </w:rPr>
      </w:pPr>
      <w:r>
        <w:rPr>
          <w:b/>
          <w:bCs/>
          <w:lang w:eastAsia="ko-KR"/>
        </w:rPr>
        <w:t>3.1.3</w:t>
      </w:r>
      <w:r>
        <w:rPr>
          <w:b/>
          <w:bCs/>
          <w:lang w:eastAsia="ko-KR"/>
        </w:rPr>
        <w:tab/>
      </w:r>
      <w:r w:rsidR="00402B1B" w:rsidRPr="006D6FB8">
        <w:rPr>
          <w:b/>
          <w:bCs/>
          <w:lang w:eastAsia="ko-KR"/>
        </w:rPr>
        <w:t>Australia -</w:t>
      </w:r>
      <w:r w:rsidR="00402B1B" w:rsidRPr="006D6FB8">
        <w:rPr>
          <w:lang w:eastAsia="ko-KR"/>
        </w:rPr>
        <w:t xml:space="preserve"> </w:t>
      </w:r>
      <w:r w:rsidR="00402B1B" w:rsidRPr="006D6FB8">
        <w:rPr>
          <w:b/>
          <w:lang w:val="en-NZ" w:eastAsia="ko-KR"/>
        </w:rPr>
        <w:t>Document APG19-3/</w:t>
      </w:r>
      <w:r w:rsidR="00402B1B" w:rsidRPr="006D6FB8">
        <w:rPr>
          <w:b/>
          <w:bCs/>
          <w:lang w:val="fr-FR"/>
        </w:rPr>
        <w:t xml:space="preserve">INP-41 </w:t>
      </w:r>
    </w:p>
    <w:p w14:paraId="322A7D08" w14:textId="77777777" w:rsidR="00402B1B" w:rsidRPr="006D6FB8" w:rsidRDefault="00402B1B" w:rsidP="00073BF0">
      <w:pPr>
        <w:spacing w:before="120" w:after="100" w:afterAutospacing="1"/>
        <w:jc w:val="both"/>
        <w:rPr>
          <w:rFonts w:eastAsiaTheme="minorEastAsia"/>
          <w:lang w:bidi="en-US"/>
        </w:rPr>
      </w:pPr>
      <w:r w:rsidRPr="006D6FB8">
        <w:rPr>
          <w:rFonts w:eastAsia="Times New Roman"/>
          <w:lang w:bidi="en-US"/>
        </w:rPr>
        <w:lastRenderedPageBreak/>
        <w:t xml:space="preserve">Australia </w:t>
      </w:r>
      <w:r w:rsidRPr="006D6FB8">
        <w:rPr>
          <w:rFonts w:eastAsiaTheme="minorEastAsia"/>
          <w:lang w:bidi="en-US"/>
        </w:rPr>
        <w:t>supports possible harmonisation of frequency bands in existing mobile service allocations for the implementation of evolving Intelligent Transport Systems (ITS). </w:t>
      </w:r>
    </w:p>
    <w:p w14:paraId="230B7287" w14:textId="77777777" w:rsidR="00402B1B" w:rsidRPr="006D6FB8" w:rsidRDefault="00402B1B" w:rsidP="00402B1B">
      <w:pPr>
        <w:spacing w:after="100" w:afterAutospacing="1"/>
        <w:jc w:val="both"/>
      </w:pPr>
      <w:r w:rsidRPr="006D6FB8">
        <w:rPr>
          <w:rFonts w:eastAsiaTheme="minorEastAsia"/>
          <w:lang w:bidi="en-US"/>
        </w:rPr>
        <w:t>Consistent with Method A of the draft CPM Report text (Document 5A/650 Annex 08) Australia supports no change to the Radio Regulations to satisfy this agenda item, and no new WRC Resolution. Spectrum harmonisation is best achieved by development of ITU-R Recommendations and supported by relevant new and/or revised ITU-R Reports.</w:t>
      </w:r>
      <w:r w:rsidRPr="006D6FB8">
        <w:t xml:space="preserve"> </w:t>
      </w:r>
    </w:p>
    <w:p w14:paraId="093557A0" w14:textId="77777777" w:rsidR="00402B1B" w:rsidRPr="006D6FB8" w:rsidRDefault="00402B1B" w:rsidP="00466C10">
      <w:pPr>
        <w:jc w:val="both"/>
      </w:pPr>
      <w:r w:rsidRPr="006D6FB8">
        <w:rPr>
          <w:rFonts w:eastAsiaTheme="minorEastAsia"/>
          <w:lang w:bidi="en-US"/>
        </w:rPr>
        <w:t xml:space="preserve">Furthermore, </w:t>
      </w:r>
      <w:r w:rsidRPr="0038070C">
        <w:rPr>
          <w:rFonts w:eastAsiaTheme="minorEastAsia"/>
          <w:lang w:bidi="en-US"/>
        </w:rPr>
        <w:t>Australia is also of the view that the ITU-R studies and any harmonised frequency bands for ITS should not be restricted to, nor exclude, any particular ITS technology</w:t>
      </w:r>
      <w:r w:rsidRPr="0038070C">
        <w:rPr>
          <w:rFonts w:eastAsia="Times New Roman"/>
          <w:lang w:bidi="en-US"/>
        </w:rPr>
        <w:t>.</w:t>
      </w:r>
    </w:p>
    <w:p w14:paraId="5E6F398A" w14:textId="77777777" w:rsidR="00402B1B" w:rsidRPr="006D6FB8" w:rsidRDefault="00402B1B" w:rsidP="00402B1B">
      <w:pPr>
        <w:jc w:val="both"/>
        <w:rPr>
          <w:lang w:eastAsia="ko-KR"/>
        </w:rPr>
      </w:pPr>
    </w:p>
    <w:p w14:paraId="6BFF479C" w14:textId="77777777" w:rsidR="00402B1B" w:rsidRDefault="00AA4952" w:rsidP="00402B1B">
      <w:pPr>
        <w:rPr>
          <w:b/>
          <w:bCs/>
          <w:lang w:val="fr-FR"/>
        </w:rPr>
      </w:pPr>
      <w:r>
        <w:rPr>
          <w:rFonts w:eastAsia="MS Mincho"/>
          <w:b/>
          <w:bCs/>
          <w:lang w:eastAsia="ja-JP"/>
        </w:rPr>
        <w:t>3.1.4</w:t>
      </w:r>
      <w:r>
        <w:rPr>
          <w:rFonts w:eastAsia="MS Mincho"/>
          <w:b/>
          <w:bCs/>
          <w:lang w:eastAsia="ja-JP"/>
        </w:rPr>
        <w:tab/>
      </w:r>
      <w:r w:rsidR="00402B1B" w:rsidRPr="006D6FB8">
        <w:rPr>
          <w:rFonts w:eastAsia="MS Mincho"/>
          <w:b/>
          <w:bCs/>
          <w:lang w:eastAsia="ja-JP"/>
        </w:rPr>
        <w:t>Japan -</w:t>
      </w:r>
      <w:r w:rsidR="00402B1B" w:rsidRPr="006D6FB8">
        <w:rPr>
          <w:rFonts w:eastAsia="MS Mincho"/>
          <w:lang w:eastAsia="ja-JP"/>
        </w:rPr>
        <w:t xml:space="preserve"> </w:t>
      </w:r>
      <w:r w:rsidR="00402B1B" w:rsidRPr="006D6FB8">
        <w:rPr>
          <w:b/>
          <w:lang w:val="en-NZ" w:eastAsia="ko-KR"/>
        </w:rPr>
        <w:t>Document APG19-3/</w:t>
      </w:r>
      <w:r w:rsidR="00402B1B" w:rsidRPr="006D6FB8">
        <w:rPr>
          <w:b/>
          <w:bCs/>
          <w:lang w:val="fr-FR"/>
        </w:rPr>
        <w:t xml:space="preserve">INP-49 </w:t>
      </w:r>
    </w:p>
    <w:p w14:paraId="3B6B1BC4" w14:textId="77777777" w:rsidR="00402B1B" w:rsidRPr="006D6FB8" w:rsidRDefault="00402B1B" w:rsidP="00073BF0">
      <w:pPr>
        <w:spacing w:before="120"/>
        <w:jc w:val="both"/>
        <w:rPr>
          <w:rFonts w:eastAsiaTheme="minorEastAsia"/>
          <w:lang w:eastAsia="ja-JP"/>
        </w:rPr>
      </w:pPr>
      <w:r w:rsidRPr="006D6FB8">
        <w:rPr>
          <w:rFonts w:eastAsiaTheme="minorEastAsia"/>
          <w:lang w:eastAsia="ja-JP"/>
        </w:rPr>
        <w:t>Japan supports ongoing studies of ITS applications in ITU-R toward possible global or regional harmonized frequency bands, including frequency bands currently using for ITS applications in Japan.</w:t>
      </w:r>
    </w:p>
    <w:p w14:paraId="1714FDDB" w14:textId="77777777" w:rsidR="00402B1B" w:rsidRPr="006D6FB8" w:rsidRDefault="00402B1B" w:rsidP="00402B1B"/>
    <w:p w14:paraId="1B5B7142" w14:textId="77777777" w:rsidR="00402B1B" w:rsidRPr="006D6FB8" w:rsidRDefault="00AA4952" w:rsidP="00402B1B">
      <w:pPr>
        <w:rPr>
          <w:b/>
          <w:bCs/>
        </w:rPr>
      </w:pPr>
      <w:r>
        <w:rPr>
          <w:b/>
          <w:lang w:val="en-NZ" w:eastAsia="ko-KR"/>
        </w:rPr>
        <w:t>3.1.5</w:t>
      </w:r>
      <w:r>
        <w:rPr>
          <w:b/>
          <w:lang w:val="en-NZ" w:eastAsia="ko-KR"/>
        </w:rPr>
        <w:tab/>
      </w:r>
      <w:r w:rsidR="00402B1B">
        <w:rPr>
          <w:b/>
          <w:lang w:val="en-NZ" w:eastAsia="ko-KR"/>
        </w:rPr>
        <w:t xml:space="preserve">Thailand </w:t>
      </w:r>
      <w:r w:rsidR="00402B1B" w:rsidRPr="006D6FB8">
        <w:rPr>
          <w:b/>
          <w:lang w:val="en-NZ" w:eastAsia="ko-KR"/>
        </w:rPr>
        <w:t>- Document APG19-3/</w:t>
      </w:r>
      <w:r w:rsidR="00402B1B" w:rsidRPr="006D6FB8">
        <w:rPr>
          <w:b/>
          <w:bCs/>
        </w:rPr>
        <w:t xml:space="preserve">INP-59 </w:t>
      </w:r>
    </w:p>
    <w:p w14:paraId="1E14BB62" w14:textId="77777777" w:rsidR="00402B1B" w:rsidRPr="006D6FB8" w:rsidRDefault="00402B1B" w:rsidP="00402B1B">
      <w:pPr>
        <w:numPr>
          <w:ilvl w:val="0"/>
          <w:numId w:val="23"/>
        </w:numPr>
        <w:tabs>
          <w:tab w:val="clear" w:pos="720"/>
          <w:tab w:val="num" w:pos="426"/>
        </w:tabs>
        <w:spacing w:before="120"/>
        <w:ind w:left="425" w:hanging="425"/>
        <w:jc w:val="both"/>
        <w:rPr>
          <w:rFonts w:eastAsia="Calibri"/>
          <w:bCs/>
        </w:rPr>
      </w:pPr>
      <w:r w:rsidRPr="006D6FB8">
        <w:rPr>
          <w:rFonts w:eastAsia="Calibri"/>
          <w:bCs/>
        </w:rPr>
        <w:t xml:space="preserve">Thailand supports ITU-R studies under Resolution </w:t>
      </w:r>
      <w:r w:rsidRPr="006D6FB8">
        <w:rPr>
          <w:rFonts w:eastAsia="Calibri"/>
        </w:rPr>
        <w:t>237 (WRC-15)</w:t>
      </w:r>
      <w:r w:rsidRPr="006D6FB8">
        <w:rPr>
          <w:rFonts w:eastAsia="Calibri"/>
          <w:bCs/>
        </w:rPr>
        <w:t xml:space="preserve"> toward possible harmonization of frequency bands in existing mobile-service allocations for the implementation of evolving Intelligent Transport Systems (ITS).</w:t>
      </w:r>
    </w:p>
    <w:p w14:paraId="1C65603E" w14:textId="77777777" w:rsidR="00402B1B" w:rsidRPr="006D6FB8" w:rsidRDefault="00402B1B" w:rsidP="00402B1B">
      <w:pPr>
        <w:numPr>
          <w:ilvl w:val="0"/>
          <w:numId w:val="23"/>
        </w:numPr>
        <w:tabs>
          <w:tab w:val="clear" w:pos="720"/>
          <w:tab w:val="num" w:pos="426"/>
        </w:tabs>
        <w:ind w:left="426" w:hanging="426"/>
        <w:jc w:val="both"/>
        <w:rPr>
          <w:rFonts w:eastAsia="Calibri"/>
          <w:bCs/>
        </w:rPr>
      </w:pPr>
      <w:r w:rsidRPr="006D6FB8">
        <w:rPr>
          <w:rFonts w:eastAsia="Calibri"/>
          <w:bCs/>
        </w:rPr>
        <w:t xml:space="preserve">Thailand is of the view that the implementation of harmonized frequency bands for ITS should not impose additional constraints on any application of the primary services to which these frequency bands are already allocated. </w:t>
      </w:r>
    </w:p>
    <w:p w14:paraId="7829E27E" w14:textId="77777777" w:rsidR="00402B1B" w:rsidRPr="006D6FB8" w:rsidRDefault="00402B1B" w:rsidP="00402B1B">
      <w:pPr>
        <w:numPr>
          <w:ilvl w:val="0"/>
          <w:numId w:val="23"/>
        </w:numPr>
        <w:tabs>
          <w:tab w:val="clear" w:pos="720"/>
          <w:tab w:val="num" w:pos="426"/>
        </w:tabs>
        <w:ind w:left="426" w:hanging="426"/>
        <w:jc w:val="both"/>
        <w:rPr>
          <w:rFonts w:eastAsia="Calibri"/>
          <w:bCs/>
        </w:rPr>
      </w:pPr>
      <w:r w:rsidRPr="006D6FB8">
        <w:rPr>
          <w:rFonts w:eastAsia="Calibri"/>
          <w:bCs/>
        </w:rPr>
        <w:t>Thailand is of the view that</w:t>
      </w:r>
      <w:r w:rsidRPr="006D6FB8">
        <w:rPr>
          <w:rFonts w:eastAsia="Calibri"/>
          <w:bCs/>
          <w:rtl/>
          <w:cs/>
        </w:rPr>
        <w:t xml:space="preserve"> </w:t>
      </w:r>
      <w:r w:rsidRPr="006D6FB8">
        <w:rPr>
          <w:rFonts w:eastAsia="Calibri"/>
          <w:bCs/>
        </w:rPr>
        <w:t>ITS systems, including those used for safety related applications, should be designed and deployed in such a way to ensure they can operate facing the potential interference generated by Fixed Satellite Service (FSS) transmitting earth stations in the frequency band 5 850</w:t>
      </w:r>
      <w:r w:rsidRPr="006D6FB8">
        <w:rPr>
          <w:rFonts w:eastAsia="Calibri"/>
          <w:bCs/>
        </w:rPr>
        <w:noBreakHyphen/>
        <w:t xml:space="preserve">5 925 MHz. </w:t>
      </w:r>
    </w:p>
    <w:p w14:paraId="79E2EFE9" w14:textId="77777777" w:rsidR="00402B1B" w:rsidRPr="006D6FB8" w:rsidRDefault="00402B1B" w:rsidP="00402B1B"/>
    <w:p w14:paraId="121AAC77" w14:textId="77777777" w:rsidR="00D76C81" w:rsidRPr="006D6FB8" w:rsidRDefault="00AA4952" w:rsidP="00402B1B">
      <w:pPr>
        <w:rPr>
          <w:b/>
        </w:rPr>
      </w:pPr>
      <w:r>
        <w:rPr>
          <w:b/>
          <w:bCs/>
        </w:rPr>
        <w:t>3.1.6</w:t>
      </w:r>
      <w:r>
        <w:rPr>
          <w:b/>
          <w:bCs/>
        </w:rPr>
        <w:tab/>
      </w:r>
      <w:r w:rsidR="00402B1B" w:rsidRPr="006D6FB8">
        <w:rPr>
          <w:b/>
          <w:bCs/>
        </w:rPr>
        <w:t>Republic of Indonesia</w:t>
      </w:r>
      <w:r w:rsidR="00402B1B" w:rsidRPr="006D6FB8">
        <w:t xml:space="preserve"> - </w:t>
      </w:r>
      <w:r w:rsidR="00402B1B" w:rsidRPr="006D6FB8">
        <w:rPr>
          <w:b/>
          <w:lang w:val="en-NZ" w:eastAsia="ko-KR"/>
        </w:rPr>
        <w:t>Document APG19-3/</w:t>
      </w:r>
      <w:r w:rsidR="00402B1B" w:rsidRPr="006D6FB8">
        <w:rPr>
          <w:b/>
        </w:rPr>
        <w:t xml:space="preserve">INP-78 </w:t>
      </w:r>
    </w:p>
    <w:p w14:paraId="24571D96" w14:textId="77777777" w:rsidR="00402B1B" w:rsidRPr="006D6FB8" w:rsidRDefault="00402B1B" w:rsidP="00073BF0">
      <w:pPr>
        <w:spacing w:before="120"/>
        <w:jc w:val="both"/>
      </w:pPr>
      <w:r w:rsidRPr="006D6FB8">
        <w:t xml:space="preserve">Indonesia is of the view that the harmonized frequency bands at global and/or regional levels within existing mobile service allocations for evolving Intelligent Transport System (ITS) shall not impose additional constraints on other primary services and shall minimize the potential interference to the existing mobile service application/systems already deployed in these frequency bands. Indonesia also support studies undertaken by ITU-R WP 5A on evolving ITS.  </w:t>
      </w:r>
    </w:p>
    <w:p w14:paraId="3D16BA7D" w14:textId="77777777" w:rsidR="00402B1B" w:rsidRPr="006D6FB8" w:rsidRDefault="00402B1B" w:rsidP="00402B1B"/>
    <w:p w14:paraId="2BFD33B0" w14:textId="77777777" w:rsidR="00402B1B" w:rsidRPr="006D6FB8" w:rsidRDefault="00AA4952" w:rsidP="00402B1B">
      <w:pPr>
        <w:rPr>
          <w:b/>
          <w:bCs/>
        </w:rPr>
      </w:pPr>
      <w:r>
        <w:rPr>
          <w:b/>
          <w:bCs/>
          <w:lang w:eastAsia="ko-KR"/>
        </w:rPr>
        <w:t>3.1.7</w:t>
      </w:r>
      <w:r>
        <w:rPr>
          <w:b/>
          <w:bCs/>
          <w:lang w:eastAsia="ko-KR"/>
        </w:rPr>
        <w:tab/>
      </w:r>
      <w:r w:rsidR="00402B1B" w:rsidRPr="006D6FB8">
        <w:rPr>
          <w:b/>
          <w:bCs/>
          <w:lang w:eastAsia="ko-KR"/>
        </w:rPr>
        <w:t>Socialist Republic of Viet Nam</w:t>
      </w:r>
      <w:r w:rsidR="00402B1B" w:rsidRPr="006D6FB8">
        <w:rPr>
          <w:lang w:eastAsia="ko-KR"/>
        </w:rPr>
        <w:t xml:space="preserve"> - </w:t>
      </w:r>
      <w:r w:rsidR="00402B1B" w:rsidRPr="006D6FB8">
        <w:rPr>
          <w:b/>
          <w:lang w:val="en-NZ" w:eastAsia="ko-KR"/>
        </w:rPr>
        <w:t>Document APG19-3/</w:t>
      </w:r>
      <w:r w:rsidR="00402B1B" w:rsidRPr="006D6FB8">
        <w:rPr>
          <w:b/>
          <w:bCs/>
        </w:rPr>
        <w:t xml:space="preserve">INP-82 </w:t>
      </w:r>
    </w:p>
    <w:p w14:paraId="2BB4BE75" w14:textId="77777777" w:rsidR="00402B1B" w:rsidRPr="006D6FB8" w:rsidRDefault="00402B1B" w:rsidP="00402B1B">
      <w:pPr>
        <w:tabs>
          <w:tab w:val="left" w:pos="600"/>
        </w:tabs>
        <w:spacing w:before="120"/>
        <w:jc w:val="both"/>
      </w:pPr>
      <w:r w:rsidRPr="006D6FB8">
        <w:t xml:space="preserve">Viet Nam supports studies under Resolution </w:t>
      </w:r>
      <w:r w:rsidRPr="006D6FB8">
        <w:rPr>
          <w:b/>
        </w:rPr>
        <w:t>237 (WRC-15)</w:t>
      </w:r>
      <w:r w:rsidRPr="006D6FB8">
        <w:t xml:space="preserve"> toward possible harmonisation of frequency bands in existing mobile service allocations for the implementation of evolving Intelligent Transport Systems (ITS).</w:t>
      </w:r>
    </w:p>
    <w:p w14:paraId="4FFB47F9" w14:textId="77777777" w:rsidR="00B219BF" w:rsidRDefault="00402B1B">
      <w:pPr>
        <w:jc w:val="both"/>
        <w:rPr>
          <w:b/>
        </w:rPr>
      </w:pPr>
      <w:r w:rsidRPr="006D6FB8">
        <w:t>Viet Nam is also in view that the harmonized use of frequency bands by ITS should not impose additional constraints on other primary services to which these frequency bands are already allocated in the Radio Regulations.</w:t>
      </w:r>
    </w:p>
    <w:p w14:paraId="76050182" w14:textId="77777777" w:rsidR="00402B1B" w:rsidRPr="006D6FB8" w:rsidRDefault="00402B1B" w:rsidP="00402B1B"/>
    <w:p w14:paraId="3917C134" w14:textId="77777777" w:rsidR="00402B1B" w:rsidRPr="006D6FB8" w:rsidRDefault="00AA4952" w:rsidP="00402B1B">
      <w:pPr>
        <w:rPr>
          <w:b/>
          <w:bCs/>
        </w:rPr>
      </w:pPr>
      <w:r>
        <w:rPr>
          <w:b/>
          <w:lang w:eastAsia="ko-KR"/>
        </w:rPr>
        <w:t>3.1.8</w:t>
      </w:r>
      <w:r>
        <w:rPr>
          <w:b/>
          <w:lang w:eastAsia="ko-KR"/>
        </w:rPr>
        <w:tab/>
      </w:r>
      <w:r w:rsidR="00402B1B" w:rsidRPr="006D6FB8">
        <w:rPr>
          <w:b/>
          <w:lang w:val="en-NZ" w:eastAsia="ko-KR"/>
        </w:rPr>
        <w:t>People’s Republic of China - Document APG19-3/</w:t>
      </w:r>
      <w:r w:rsidR="00402B1B" w:rsidRPr="006D6FB8">
        <w:rPr>
          <w:b/>
          <w:bCs/>
        </w:rPr>
        <w:t xml:space="preserve">INP-86 </w:t>
      </w:r>
    </w:p>
    <w:p w14:paraId="5F5BADCC" w14:textId="77777777" w:rsidR="00402B1B" w:rsidRPr="006D6FB8" w:rsidRDefault="00402B1B" w:rsidP="00073BF0">
      <w:pPr>
        <w:tabs>
          <w:tab w:val="center" w:pos="4658"/>
        </w:tabs>
        <w:spacing w:before="120"/>
        <w:jc w:val="both"/>
        <w:rPr>
          <w:rFonts w:eastAsia="SimSun"/>
          <w:lang w:eastAsia="zh-CN"/>
        </w:rPr>
      </w:pPr>
      <w:bookmarkStart w:id="0" w:name="OLE_LINK36"/>
      <w:bookmarkStart w:id="1" w:name="OLE_LINK37"/>
      <w:bookmarkStart w:id="2" w:name="OLE_LINK38"/>
      <w:r w:rsidRPr="006D6FB8">
        <w:rPr>
          <w:rFonts w:eastAsia="SimSun"/>
          <w:lang w:eastAsia="zh-CN"/>
        </w:rPr>
        <w:t xml:space="preserve">China supports the existing APT Preliminary Views from APG19-2 meeting, and China also supports to consider following view points as APT preliminary views of APT  in this meeting: </w:t>
      </w:r>
    </w:p>
    <w:bookmarkEnd w:id="0"/>
    <w:bookmarkEnd w:id="1"/>
    <w:bookmarkEnd w:id="2"/>
    <w:p w14:paraId="5B275701" w14:textId="77777777" w:rsidR="00402B1B" w:rsidRPr="006D6FB8" w:rsidRDefault="00402B1B" w:rsidP="00402B1B">
      <w:pPr>
        <w:pStyle w:val="1"/>
        <w:numPr>
          <w:ilvl w:val="0"/>
          <w:numId w:val="24"/>
        </w:numPr>
        <w:spacing w:beforeLines="50" w:before="120" w:afterLines="50" w:after="120"/>
        <w:jc w:val="both"/>
        <w:rPr>
          <w:rFonts w:eastAsia="SimSun" w:cs="Times New Roman"/>
          <w:lang w:eastAsia="zh-CN"/>
        </w:rPr>
      </w:pPr>
      <w:r w:rsidRPr="006D6FB8">
        <w:rPr>
          <w:rFonts w:eastAsia="SimSun" w:cs="Times New Roman"/>
          <w:lang w:eastAsia="zh-CN"/>
        </w:rPr>
        <w:t xml:space="preserve">China supports the method of adding one new WRC Resolution to satisfy WRC-19 Agenda item 1.12 for global or regional harmonized frequency bands of evolving Intelligent Transport Systems, and consequently suppress the </w:t>
      </w:r>
      <w:r w:rsidRPr="006D6FB8">
        <w:rPr>
          <w:rFonts w:cs="Times New Roman"/>
          <w:i/>
          <w:iCs/>
        </w:rPr>
        <w:t xml:space="preserve">Resolution </w:t>
      </w:r>
      <w:r w:rsidRPr="006D6FB8">
        <w:rPr>
          <w:rFonts w:cs="Times New Roman"/>
          <w:b/>
          <w:bCs/>
          <w:i/>
          <w:iCs/>
        </w:rPr>
        <w:t>237 (WRC-15)</w:t>
      </w:r>
      <w:r w:rsidRPr="006D6FB8">
        <w:rPr>
          <w:rFonts w:eastAsia="SimSun" w:cs="Times New Roman"/>
          <w:lang w:eastAsia="zh-CN"/>
        </w:rPr>
        <w:t>.</w:t>
      </w:r>
    </w:p>
    <w:p w14:paraId="0F41B0C9" w14:textId="77777777" w:rsidR="00402B1B" w:rsidRPr="006D6FB8" w:rsidRDefault="00402B1B" w:rsidP="00402B1B">
      <w:pPr>
        <w:pStyle w:val="1"/>
        <w:numPr>
          <w:ilvl w:val="0"/>
          <w:numId w:val="24"/>
        </w:numPr>
        <w:jc w:val="both"/>
        <w:rPr>
          <w:rFonts w:eastAsia="SimSun" w:cs="Times New Roman"/>
          <w:lang w:eastAsia="zh-CN"/>
        </w:rPr>
      </w:pPr>
      <w:r w:rsidRPr="006D6FB8">
        <w:rPr>
          <w:rFonts w:cs="Times New Roman"/>
          <w:lang w:eastAsia="zh-CN"/>
        </w:rPr>
        <w:lastRenderedPageBreak/>
        <w:t xml:space="preserve">China supports that LTE-V2X and its evolution technologies should be considered within the scope of WRC-19 Agenda Item 1.12 as the evolving ITS technologies, and </w:t>
      </w:r>
      <w:r w:rsidRPr="0038070C">
        <w:rPr>
          <w:rFonts w:cs="Times New Roman"/>
          <w:lang w:eastAsia="zh-CN"/>
        </w:rPr>
        <w:t>any harmonized frequency bands for evolving ITS should not be restricted to, nor exclude, any particular evolving ITS</w:t>
      </w:r>
      <w:r w:rsidRPr="0038070C">
        <w:rPr>
          <w:rFonts w:cs="Times New Roman"/>
        </w:rPr>
        <w:t xml:space="preserve"> technology.</w:t>
      </w:r>
    </w:p>
    <w:p w14:paraId="6627C651" w14:textId="77777777" w:rsidR="00402B1B" w:rsidRPr="006D6FB8" w:rsidRDefault="00402B1B" w:rsidP="00402B1B">
      <w:pPr>
        <w:pStyle w:val="1"/>
        <w:rPr>
          <w:rFonts w:eastAsia="SimSun" w:cs="Times New Roman"/>
          <w:lang w:eastAsia="zh-CN"/>
        </w:rPr>
      </w:pPr>
    </w:p>
    <w:p w14:paraId="1EEFED37" w14:textId="77777777" w:rsidR="00402B1B" w:rsidRPr="006D6FB8" w:rsidRDefault="00402B1B" w:rsidP="00402B1B">
      <w:pPr>
        <w:pStyle w:val="1"/>
        <w:numPr>
          <w:ilvl w:val="0"/>
          <w:numId w:val="24"/>
        </w:numPr>
        <w:rPr>
          <w:rFonts w:eastAsia="SimSun" w:cs="Times New Roman"/>
          <w:lang w:eastAsia="zh-CN"/>
        </w:rPr>
      </w:pPr>
      <w:r w:rsidRPr="006D6FB8">
        <w:rPr>
          <w:rFonts w:eastAsia="SimSun" w:cs="Times New Roman"/>
          <w:lang w:eastAsia="zh-CN"/>
        </w:rPr>
        <w:t>China supports to consider 5 850-5 925MHz or part of this frequency range as global or regional harmonized frequency band for evolving Intelligent Transport Systems.</w:t>
      </w:r>
    </w:p>
    <w:p w14:paraId="756C1E02" w14:textId="77777777" w:rsidR="00441526" w:rsidRPr="00441526" w:rsidRDefault="00441526" w:rsidP="003D1128">
      <w:pPr>
        <w:rPr>
          <w:lang w:val="en-NZ"/>
        </w:rPr>
      </w:pPr>
    </w:p>
    <w:p w14:paraId="4FC83A6C" w14:textId="77777777" w:rsidR="008454C8" w:rsidRPr="00441526" w:rsidRDefault="008454C8" w:rsidP="008454C8">
      <w:pPr>
        <w:spacing w:after="120"/>
        <w:jc w:val="both"/>
        <w:rPr>
          <w:b/>
          <w:lang w:val="en-NZ"/>
        </w:rPr>
      </w:pPr>
      <w:r w:rsidRPr="00441526">
        <w:rPr>
          <w:b/>
          <w:lang w:val="en-NZ"/>
        </w:rPr>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4F761946" w14:textId="77777777" w:rsidR="00815261" w:rsidRPr="00466C10" w:rsidRDefault="00815261" w:rsidP="00727855">
      <w:pPr>
        <w:pStyle w:val="ListParagraph"/>
        <w:spacing w:beforeLines="50" w:before="120"/>
        <w:ind w:left="708"/>
        <w:jc w:val="both"/>
        <w:rPr>
          <w:iCs/>
          <w:lang w:val="en-NZ"/>
        </w:rPr>
      </w:pPr>
      <w:bookmarkStart w:id="3" w:name="OLE_LINK32"/>
      <w:bookmarkStart w:id="4" w:name="OLE_LINK52"/>
      <w:bookmarkStart w:id="5" w:name="OLE_LINK19"/>
      <w:bookmarkStart w:id="6" w:name="OLE_LINK20"/>
      <w:r w:rsidRPr="00466C10">
        <w:rPr>
          <w:lang w:val="en-NZ"/>
        </w:rPr>
        <w:t xml:space="preserve">Four key issues were discussed during the meeting based on APT Members’ contributions: ITS technologies, frequency bands to be harmonized, other primary services in the bands, and Methods to satisfy the agenda item. </w:t>
      </w:r>
    </w:p>
    <w:p w14:paraId="00B47CAF" w14:textId="77777777" w:rsidR="00AB5743" w:rsidRDefault="00236126" w:rsidP="00466C10">
      <w:pPr>
        <w:numPr>
          <w:ilvl w:val="0"/>
          <w:numId w:val="18"/>
        </w:numPr>
        <w:ind w:leftChars="145" w:left="708"/>
        <w:jc w:val="both"/>
        <w:rPr>
          <w:iCs/>
          <w:lang w:val="en-NZ"/>
        </w:rPr>
      </w:pPr>
      <w:r w:rsidRPr="009A7022">
        <w:rPr>
          <w:iCs/>
          <w:lang w:val="en-NZ"/>
        </w:rPr>
        <w:t xml:space="preserve">The </w:t>
      </w:r>
      <w:r w:rsidR="00930653" w:rsidRPr="00466C10">
        <w:rPr>
          <w:iCs/>
          <w:lang w:val="en-NZ"/>
        </w:rPr>
        <w:t>standardization progress</w:t>
      </w:r>
      <w:r w:rsidRPr="009A7022">
        <w:rPr>
          <w:iCs/>
          <w:lang w:val="en-NZ"/>
        </w:rPr>
        <w:t xml:space="preserve"> of ITS </w:t>
      </w:r>
      <w:r w:rsidR="00930653" w:rsidRPr="00466C10">
        <w:rPr>
          <w:iCs/>
          <w:lang w:val="en-NZ"/>
        </w:rPr>
        <w:t xml:space="preserve">technology </w:t>
      </w:r>
      <w:r w:rsidRPr="009A7022">
        <w:rPr>
          <w:iCs/>
          <w:lang w:val="en-NZ"/>
        </w:rPr>
        <w:t xml:space="preserve">was </w:t>
      </w:r>
      <w:r w:rsidR="00A7699D">
        <w:rPr>
          <w:iCs/>
          <w:lang w:val="en-NZ"/>
        </w:rPr>
        <w:t>introduced</w:t>
      </w:r>
      <w:r w:rsidRPr="009A7022">
        <w:rPr>
          <w:iCs/>
          <w:lang w:val="en-NZ"/>
        </w:rPr>
        <w:t xml:space="preserve"> in the meeting and i</w:t>
      </w:r>
      <w:r w:rsidR="002C4059" w:rsidRPr="009A7022">
        <w:rPr>
          <w:iCs/>
          <w:lang w:val="en-NZ"/>
        </w:rPr>
        <w:t xml:space="preserve">t </w:t>
      </w:r>
      <w:r w:rsidRPr="009A7022">
        <w:rPr>
          <w:iCs/>
          <w:lang w:val="en-NZ"/>
        </w:rPr>
        <w:t>wa</w:t>
      </w:r>
      <w:r w:rsidR="002C4059" w:rsidRPr="009A7022">
        <w:rPr>
          <w:iCs/>
          <w:lang w:val="en-NZ"/>
        </w:rPr>
        <w:t>s noted that the air interface standardizations of LTE based V2X, which is based on 3GPP Rel-14 LTE based V2X technology, was completed by China Communications Standards Association (CCSA) in 2017.</w:t>
      </w:r>
      <w:bookmarkEnd w:id="3"/>
      <w:bookmarkEnd w:id="4"/>
      <w:bookmarkEnd w:id="5"/>
      <w:bookmarkEnd w:id="6"/>
      <w:r w:rsidRPr="009A7022">
        <w:rPr>
          <w:iCs/>
          <w:lang w:val="en-NZ"/>
        </w:rPr>
        <w:t xml:space="preserve"> </w:t>
      </w:r>
    </w:p>
    <w:p w14:paraId="271FE86B" w14:textId="77777777" w:rsidR="00515392" w:rsidRPr="00466C10" w:rsidRDefault="00515392" w:rsidP="00466C10">
      <w:pPr>
        <w:pStyle w:val="ListParagraph"/>
        <w:numPr>
          <w:ilvl w:val="0"/>
          <w:numId w:val="18"/>
        </w:numPr>
        <w:ind w:leftChars="145" w:left="708"/>
        <w:contextualSpacing/>
        <w:jc w:val="both"/>
        <w:rPr>
          <w:iCs/>
          <w:lang w:val="en-NZ"/>
        </w:rPr>
      </w:pPr>
      <w:r w:rsidRPr="00515392">
        <w:rPr>
          <w:iCs/>
          <w:lang w:val="en-NZ"/>
        </w:rPr>
        <w:t xml:space="preserve">It was noted that the </w:t>
      </w:r>
      <w:r w:rsidRPr="00515392">
        <w:rPr>
          <w:rFonts w:eastAsia="SimSun"/>
          <w:lang w:eastAsia="zh-CN"/>
        </w:rPr>
        <w:t>Preliminary draft revision of APT Report on “The Usage of ITS in APT countries” (APT REPORT#18 (REV.1)). (</w:t>
      </w:r>
      <w:hyperlink r:id="rId15" w:history="1">
        <w:r w:rsidRPr="00515392">
          <w:rPr>
            <w:rStyle w:val="Hyperlink"/>
            <w:rFonts w:eastAsia="SimSun"/>
            <w:lang w:eastAsia="zh-CN"/>
          </w:rPr>
          <w:t>Document AWG-22/TMP-47</w:t>
        </w:r>
      </w:hyperlink>
      <w:r w:rsidRPr="00515392">
        <w:rPr>
          <w:rFonts w:eastAsia="SimSun"/>
          <w:lang w:eastAsia="zh-CN"/>
        </w:rPr>
        <w:t>) will be finalized in April 2018.</w:t>
      </w:r>
    </w:p>
    <w:p w14:paraId="0E24161C" w14:textId="77777777" w:rsidR="00F47F05" w:rsidRPr="00466C10" w:rsidRDefault="00F47F05" w:rsidP="00F47F05">
      <w:pPr>
        <w:pStyle w:val="ListParagraph"/>
        <w:numPr>
          <w:ilvl w:val="0"/>
          <w:numId w:val="18"/>
        </w:numPr>
        <w:spacing w:beforeLines="50" w:before="120"/>
        <w:ind w:leftChars="145" w:left="708"/>
        <w:jc w:val="both"/>
        <w:rPr>
          <w:iCs/>
          <w:lang w:val="en-NZ"/>
        </w:rPr>
      </w:pPr>
      <w:r w:rsidRPr="00466C10">
        <w:rPr>
          <w:lang w:val="en-GB"/>
        </w:rPr>
        <w:t>The possible frequency band</w:t>
      </w:r>
      <w:r w:rsidR="00523F79">
        <w:rPr>
          <w:lang w:val="en-GB"/>
        </w:rPr>
        <w:t>s</w:t>
      </w:r>
      <w:r w:rsidRPr="00466C10">
        <w:rPr>
          <w:lang w:val="en-GB"/>
        </w:rPr>
        <w:t xml:space="preserve"> to be harmonized for ITS w</w:t>
      </w:r>
      <w:r w:rsidR="00FB44E5">
        <w:rPr>
          <w:lang w:val="en-GB"/>
        </w:rPr>
        <w:t>ere</w:t>
      </w:r>
      <w:r w:rsidRPr="00466C10">
        <w:rPr>
          <w:lang w:val="en-GB"/>
        </w:rPr>
        <w:t xml:space="preserve"> discussed. However, no consensus was reached.</w:t>
      </w:r>
    </w:p>
    <w:p w14:paraId="1970E8DC" w14:textId="77777777" w:rsidR="00703F6F" w:rsidRPr="00466C10" w:rsidRDefault="004C7F86" w:rsidP="00466C10">
      <w:pPr>
        <w:pStyle w:val="ListParagraph"/>
        <w:numPr>
          <w:ilvl w:val="0"/>
          <w:numId w:val="18"/>
        </w:numPr>
        <w:ind w:leftChars="145" w:left="708"/>
        <w:jc w:val="both"/>
        <w:rPr>
          <w:lang w:val="en-NZ"/>
        </w:rPr>
      </w:pPr>
      <w:r>
        <w:rPr>
          <w:iCs/>
          <w:lang w:val="en-NZ"/>
        </w:rPr>
        <w:t xml:space="preserve">When reviewing the </w:t>
      </w:r>
      <w:r w:rsidRPr="00F35ED9">
        <w:rPr>
          <w:iCs/>
          <w:lang w:val="en-NZ"/>
        </w:rPr>
        <w:t>current preliminary draft CPM text</w:t>
      </w:r>
      <w:r>
        <w:rPr>
          <w:iCs/>
          <w:lang w:val="en-NZ"/>
        </w:rPr>
        <w:t xml:space="preserve"> developed by </w:t>
      </w:r>
      <w:r w:rsidRPr="00F35ED9">
        <w:rPr>
          <w:iCs/>
          <w:lang w:val="en-NZ"/>
        </w:rPr>
        <w:t>WP5A</w:t>
      </w:r>
      <w:r>
        <w:rPr>
          <w:iCs/>
          <w:lang w:val="en-NZ"/>
        </w:rPr>
        <w:t>,</w:t>
      </w:r>
      <w:r w:rsidRPr="00820421">
        <w:rPr>
          <w:iCs/>
          <w:lang w:val="en-NZ"/>
        </w:rPr>
        <w:t xml:space="preserve"> </w:t>
      </w:r>
      <w:r>
        <w:rPr>
          <w:iCs/>
          <w:lang w:val="en-NZ"/>
        </w:rPr>
        <w:t>i</w:t>
      </w:r>
      <w:r w:rsidR="00ED362E" w:rsidRPr="00820421">
        <w:rPr>
          <w:iCs/>
          <w:lang w:val="en-NZ"/>
        </w:rPr>
        <w:t xml:space="preserve">t </w:t>
      </w:r>
      <w:r w:rsidR="00086263">
        <w:rPr>
          <w:iCs/>
          <w:lang w:val="en-NZ"/>
        </w:rPr>
        <w:t>wa</w:t>
      </w:r>
      <w:r w:rsidR="00ED362E" w:rsidRPr="00820421">
        <w:rPr>
          <w:iCs/>
          <w:lang w:val="en-NZ"/>
        </w:rPr>
        <w:t xml:space="preserve">s noted that </w:t>
      </w:r>
      <w:r w:rsidR="00ED362E" w:rsidRPr="00F35ED9">
        <w:rPr>
          <w:iCs/>
          <w:lang w:val="en-NZ"/>
        </w:rPr>
        <w:t>there is a potential for harmful interference from FSS earth stations to ITS receivers</w:t>
      </w:r>
      <w:r>
        <w:rPr>
          <w:iCs/>
          <w:lang w:val="en-NZ"/>
        </w:rPr>
        <w:t xml:space="preserve"> </w:t>
      </w:r>
      <w:r w:rsidRPr="00F35ED9">
        <w:rPr>
          <w:lang w:eastAsia="ja-JP"/>
        </w:rPr>
        <w:t xml:space="preserve">in the frequency band </w:t>
      </w:r>
      <w:r w:rsidRPr="00F35ED9">
        <w:rPr>
          <w:iCs/>
          <w:lang w:val="en-NZ"/>
        </w:rPr>
        <w:t>5 850</w:t>
      </w:r>
      <w:r w:rsidRPr="00F35ED9">
        <w:rPr>
          <w:iCs/>
          <w:lang w:val="en-NZ"/>
        </w:rPr>
        <w:noBreakHyphen/>
        <w:t>5 925 MHz</w:t>
      </w:r>
      <w:r w:rsidR="00ED362E" w:rsidRPr="00F35ED9">
        <w:rPr>
          <w:iCs/>
          <w:lang w:val="en-NZ"/>
        </w:rPr>
        <w:t xml:space="preserve">, while the probability of interference from ITS devices to FSS space receivers would be negligible. </w:t>
      </w:r>
      <w:r w:rsidR="00CA4C3B">
        <w:rPr>
          <w:iCs/>
          <w:lang w:val="en-NZ"/>
        </w:rPr>
        <w:t xml:space="preserve">Some APT Members clarified the sharing studies between </w:t>
      </w:r>
      <w:r w:rsidR="00CA4C3B" w:rsidRPr="00F35ED9">
        <w:rPr>
          <w:iCs/>
          <w:lang w:val="en-NZ"/>
        </w:rPr>
        <w:t xml:space="preserve">FSS earth stations </w:t>
      </w:r>
      <w:r w:rsidR="00CA4C3B">
        <w:rPr>
          <w:iCs/>
          <w:lang w:val="en-NZ"/>
        </w:rPr>
        <w:t>and</w:t>
      </w:r>
      <w:r w:rsidR="00CA4C3B" w:rsidRPr="00F35ED9">
        <w:rPr>
          <w:iCs/>
          <w:lang w:val="en-NZ"/>
        </w:rPr>
        <w:t xml:space="preserve"> ITS receivers</w:t>
      </w:r>
      <w:r w:rsidR="00CA4C3B">
        <w:rPr>
          <w:iCs/>
          <w:lang w:val="en-NZ"/>
        </w:rPr>
        <w:t xml:space="preserve"> were conducted in the case of the same geographic area by CEPT. </w:t>
      </w:r>
      <w:r w:rsidR="00580CEC">
        <w:rPr>
          <w:iCs/>
          <w:lang w:val="en-NZ"/>
        </w:rPr>
        <w:t xml:space="preserve">Some </w:t>
      </w:r>
      <w:r>
        <w:rPr>
          <w:iCs/>
          <w:lang w:val="en-NZ"/>
        </w:rPr>
        <w:t xml:space="preserve">APT Members are </w:t>
      </w:r>
      <w:r w:rsidR="00580CEC">
        <w:rPr>
          <w:iCs/>
          <w:lang w:val="en-NZ"/>
        </w:rPr>
        <w:t>concerned regarding</w:t>
      </w:r>
      <w:r>
        <w:rPr>
          <w:iCs/>
          <w:lang w:val="en-NZ"/>
        </w:rPr>
        <w:t xml:space="preserve"> </w:t>
      </w:r>
      <w:r w:rsidR="00ED362E" w:rsidRPr="00F35ED9">
        <w:rPr>
          <w:iCs/>
          <w:lang w:val="en-NZ"/>
        </w:rPr>
        <w:t xml:space="preserve">how to ensure the proper operation of ITS devices </w:t>
      </w:r>
      <w:r w:rsidR="00ED362E" w:rsidRPr="00F35ED9">
        <w:rPr>
          <w:lang w:eastAsia="zh-CN"/>
        </w:rPr>
        <w:t xml:space="preserve">facing </w:t>
      </w:r>
      <w:r w:rsidR="007B0928" w:rsidRPr="00F35ED9">
        <w:rPr>
          <w:lang w:eastAsia="zh-CN"/>
        </w:rPr>
        <w:t>such</w:t>
      </w:r>
      <w:r w:rsidR="00ED362E" w:rsidRPr="00F35ED9">
        <w:rPr>
          <w:lang w:eastAsia="zh-CN"/>
        </w:rPr>
        <w:t xml:space="preserve"> potential interference</w:t>
      </w:r>
      <w:r w:rsidR="00ED362E" w:rsidRPr="00F35ED9">
        <w:rPr>
          <w:iCs/>
          <w:lang w:val="en-NZ"/>
        </w:rPr>
        <w:t>.</w:t>
      </w:r>
      <w:r w:rsidR="00CA4C3B">
        <w:rPr>
          <w:iCs/>
          <w:lang w:val="en-NZ"/>
        </w:rPr>
        <w:t xml:space="preserve"> </w:t>
      </w:r>
    </w:p>
    <w:p w14:paraId="1BA1EFFE" w14:textId="77777777" w:rsidR="0028516A" w:rsidRPr="00606F84" w:rsidRDefault="0028516A" w:rsidP="00466C10">
      <w:pPr>
        <w:pStyle w:val="ListParagraph"/>
        <w:numPr>
          <w:ilvl w:val="0"/>
          <w:numId w:val="18"/>
        </w:numPr>
        <w:ind w:leftChars="145" w:left="708"/>
        <w:jc w:val="both"/>
        <w:rPr>
          <w:lang w:val="en-NZ"/>
        </w:rPr>
      </w:pPr>
      <w:r w:rsidRPr="00606F84">
        <w:t xml:space="preserve">Currently, two </w:t>
      </w:r>
      <w:r w:rsidR="00EB4B4F">
        <w:t xml:space="preserve">of the </w:t>
      </w:r>
      <w:r w:rsidR="003E3973" w:rsidRPr="00466C10">
        <w:t>M</w:t>
      </w:r>
      <w:r w:rsidRPr="00606F84">
        <w:t>ethods to satisfy th</w:t>
      </w:r>
      <w:r w:rsidR="00F070D8" w:rsidRPr="00466C10">
        <w:t>e</w:t>
      </w:r>
      <w:r w:rsidRPr="00606F84">
        <w:t xml:space="preserve"> agenda item are supported by </w:t>
      </w:r>
      <w:r w:rsidR="00EB4B4F">
        <w:t>various</w:t>
      </w:r>
      <w:r w:rsidRPr="00606F84">
        <w:t xml:space="preserve"> APT Members, while some other APT Members are still considering </w:t>
      </w:r>
      <w:r w:rsidR="003E3973" w:rsidRPr="00466C10">
        <w:t>M</w:t>
      </w:r>
      <w:r w:rsidRPr="00606F84">
        <w:t>ethods to satisfy the agenda item.</w:t>
      </w:r>
    </w:p>
    <w:p w14:paraId="2E80979D" w14:textId="77777777" w:rsidR="0075493D" w:rsidRDefault="0075493D" w:rsidP="00B64A60">
      <w:pPr>
        <w:jc w:val="both"/>
        <w:rPr>
          <w:lang w:val="en-NZ"/>
        </w:rPr>
      </w:pPr>
    </w:p>
    <w:p w14:paraId="34E2EFED" w14:textId="77777777" w:rsidR="00B90D11" w:rsidRPr="00441526" w:rsidRDefault="00B90D11" w:rsidP="00B64A60">
      <w:pPr>
        <w:jc w:val="both"/>
        <w:rPr>
          <w:lang w:val="en-NZ"/>
        </w:rPr>
      </w:pPr>
    </w:p>
    <w:p w14:paraId="164523F0" w14:textId="77777777" w:rsidR="00B64A60" w:rsidRPr="00441526" w:rsidRDefault="00B64A60" w:rsidP="00B64A60">
      <w:pPr>
        <w:spacing w:after="120"/>
        <w:jc w:val="both"/>
        <w:rPr>
          <w:b/>
          <w:lang w:val="en-NZ" w:eastAsia="ko-KR"/>
        </w:rPr>
      </w:pPr>
      <w:r w:rsidRPr="00441526">
        <w:rPr>
          <w:b/>
          <w:lang w:val="en-NZ" w:eastAsia="ko-KR"/>
        </w:rPr>
        <w:t xml:space="preserve">4. </w:t>
      </w:r>
      <w:r w:rsidRPr="00441526">
        <w:rPr>
          <w:b/>
          <w:lang w:val="en-NZ" w:eastAsia="ko-KR"/>
        </w:rPr>
        <w:tab/>
      </w:r>
      <w:r w:rsidR="004465AA" w:rsidRPr="00441526">
        <w:rPr>
          <w:b/>
          <w:lang w:val="en-NZ" w:eastAsia="ko-KR"/>
        </w:rPr>
        <w:t xml:space="preserve">APT </w:t>
      </w:r>
      <w:r w:rsidRPr="00441526">
        <w:rPr>
          <w:b/>
          <w:lang w:val="en-NZ" w:eastAsia="ko-KR"/>
        </w:rPr>
        <w:t>Preliminary View</w:t>
      </w:r>
      <w:r w:rsidR="00D53688" w:rsidRPr="00441526">
        <w:rPr>
          <w:b/>
          <w:lang w:val="en-NZ" w:eastAsia="ko-KR"/>
        </w:rPr>
        <w:t>(s)</w:t>
      </w:r>
    </w:p>
    <w:p w14:paraId="75806B5D" w14:textId="77777777" w:rsidR="005B2BBE" w:rsidRDefault="005B2BBE" w:rsidP="005B2BBE">
      <w:pPr>
        <w:jc w:val="thaiDistribute"/>
      </w:pPr>
      <w:r>
        <w:rPr>
          <w:rFonts w:cstheme="minorBidi"/>
          <w:iCs/>
          <w:szCs w:val="30"/>
          <w:lang w:eastAsia="ko-KR" w:bidi="th-TH"/>
        </w:rPr>
        <w:t xml:space="preserve">APT Members support </w:t>
      </w:r>
      <w:r>
        <w:t xml:space="preserve">studies under Resolution </w:t>
      </w:r>
      <w:r>
        <w:rPr>
          <w:b/>
        </w:rPr>
        <w:t>237 (WRC-15)</w:t>
      </w:r>
      <w:r>
        <w:t xml:space="preserve"> toward possible harmonization of frequency bands in existing mobile-service allocations for the implementation of evolving Intelligent Transport Systems (ITS).</w:t>
      </w:r>
    </w:p>
    <w:p w14:paraId="5AA3C7AE" w14:textId="77777777" w:rsidR="00BD5CF5" w:rsidRDefault="005B2BBE" w:rsidP="0012390B">
      <w:pPr>
        <w:spacing w:beforeLines="50" w:before="120" w:afterLines="50" w:after="120"/>
        <w:jc w:val="both"/>
        <w:rPr>
          <w:rFonts w:eastAsia="SimSun"/>
          <w:iCs/>
          <w:lang w:eastAsia="zh-CN"/>
        </w:rPr>
      </w:pPr>
      <w:r w:rsidRPr="00BD5CF5">
        <w:rPr>
          <w:rFonts w:eastAsia="SimSun"/>
          <w:iCs/>
          <w:lang w:eastAsia="zh-CN"/>
        </w:rPr>
        <w:t>APT Members are also of the view that:</w:t>
      </w:r>
    </w:p>
    <w:p w14:paraId="58304E3A" w14:textId="77777777" w:rsidR="00671921" w:rsidRPr="00466C10" w:rsidRDefault="00E65CFE" w:rsidP="00466C10">
      <w:pPr>
        <w:pStyle w:val="ListParagraph"/>
        <w:numPr>
          <w:ilvl w:val="0"/>
          <w:numId w:val="18"/>
        </w:numPr>
        <w:ind w:left="709" w:hanging="425"/>
        <w:rPr>
          <w:strike/>
        </w:rPr>
      </w:pPr>
      <w:r>
        <w:t>E</w:t>
      </w:r>
      <w:r w:rsidR="005B2BBE" w:rsidRPr="00466C10">
        <w:t>volving</w:t>
      </w:r>
      <w:r w:rsidR="00BD4593" w:rsidRPr="00466C10">
        <w:t xml:space="preserve"> </w:t>
      </w:r>
      <w:r w:rsidR="005B2BBE" w:rsidRPr="00466C10">
        <w:t xml:space="preserve">ITS should not be restricted to, nor exclude, any particular </w:t>
      </w:r>
      <w:r w:rsidR="007D1F02" w:rsidRPr="00466C10">
        <w:t>evolving</w:t>
      </w:r>
      <w:r w:rsidR="007D1F02" w:rsidRPr="00466C10" w:rsidDel="00BD4593">
        <w:t xml:space="preserve"> </w:t>
      </w:r>
      <w:r w:rsidR="005B2BBE" w:rsidRPr="00466C10">
        <w:t>ITS technology</w:t>
      </w:r>
      <w:r w:rsidR="00676257" w:rsidRPr="00BD5CF5">
        <w:t xml:space="preserve"> </w:t>
      </w:r>
      <w:r w:rsidR="00036211" w:rsidRPr="00BD5CF5">
        <w:t xml:space="preserve">including </w:t>
      </w:r>
      <w:r w:rsidR="00036211" w:rsidRPr="00D30B98">
        <w:t>LTE based V2X and its evolution technologies</w:t>
      </w:r>
      <w:r w:rsidR="00036211" w:rsidRPr="00BD5CF5">
        <w:t xml:space="preserve">. </w:t>
      </w:r>
    </w:p>
    <w:p w14:paraId="5035F61D" w14:textId="77777777" w:rsidR="00BD5CF5" w:rsidRPr="00466C10" w:rsidRDefault="00A75D4D" w:rsidP="00466C10">
      <w:pPr>
        <w:pStyle w:val="ListParagraph"/>
        <w:numPr>
          <w:ilvl w:val="0"/>
          <w:numId w:val="18"/>
        </w:numPr>
        <w:ind w:left="709" w:hanging="425"/>
        <w:rPr>
          <w:rFonts w:eastAsia="Calibri"/>
          <w:bCs/>
        </w:rPr>
      </w:pPr>
      <w:r w:rsidRPr="00466C10">
        <w:t>T</w:t>
      </w:r>
      <w:r w:rsidR="005B2BBE" w:rsidRPr="00BD5CF5">
        <w:rPr>
          <w:bCs/>
        </w:rPr>
        <w:t>he use of frequency bands by ITS should not impose additional constraints on other primary services to which these frequency bands are already allocated</w:t>
      </w:r>
      <w:r w:rsidR="0076136A">
        <w:rPr>
          <w:bCs/>
        </w:rPr>
        <w:t xml:space="preserve"> and should </w:t>
      </w:r>
      <w:r w:rsidR="0076136A" w:rsidRPr="00D30B98">
        <w:rPr>
          <w:lang w:eastAsia="zh-CN"/>
        </w:rPr>
        <w:t xml:space="preserve">take appropriate account of the potential interference from </w:t>
      </w:r>
      <w:r w:rsidR="0076136A">
        <w:rPr>
          <w:lang w:eastAsia="zh-CN"/>
        </w:rPr>
        <w:t xml:space="preserve">other primary Services, including </w:t>
      </w:r>
      <w:r w:rsidR="0076136A" w:rsidRPr="00D30B98">
        <w:rPr>
          <w:lang w:eastAsia="zh-CN"/>
        </w:rPr>
        <w:t>FSS earth station uplinks</w:t>
      </w:r>
      <w:r w:rsidR="00BD5CF5">
        <w:rPr>
          <w:bCs/>
        </w:rPr>
        <w:t>.</w:t>
      </w:r>
    </w:p>
    <w:p w14:paraId="412F97B8" w14:textId="77777777" w:rsidR="00FD6235" w:rsidRDefault="00FD6235">
      <w:pPr>
        <w:rPr>
          <w:lang w:val="en-NZ"/>
        </w:rPr>
      </w:pPr>
    </w:p>
    <w:p w14:paraId="011B185E" w14:textId="77777777" w:rsidR="00B90D11" w:rsidRPr="00441526" w:rsidRDefault="00B90D11">
      <w:pPr>
        <w:rPr>
          <w:lang w:val="en-NZ"/>
        </w:rPr>
      </w:pPr>
    </w:p>
    <w:p w14:paraId="59DC37DF" w14:textId="77777777" w:rsidR="00B64A60" w:rsidRDefault="00B64A60" w:rsidP="00B64A60">
      <w:pPr>
        <w:spacing w:after="120"/>
        <w:jc w:val="both"/>
        <w:rPr>
          <w:b/>
          <w:lang w:val="en-NZ" w:eastAsia="ko-KR"/>
        </w:rPr>
      </w:pPr>
      <w:r w:rsidRPr="00441526">
        <w:rPr>
          <w:b/>
          <w:lang w:val="en-NZ" w:eastAsia="ko-KR"/>
        </w:rPr>
        <w:lastRenderedPageBreak/>
        <w:t xml:space="preserve">5. </w:t>
      </w:r>
      <w:r w:rsidRPr="00441526">
        <w:rPr>
          <w:b/>
          <w:lang w:val="en-NZ" w:eastAsia="ko-KR"/>
        </w:rPr>
        <w:tab/>
        <w:t>Other View</w:t>
      </w:r>
      <w:r w:rsidR="00441526" w:rsidRPr="00441526">
        <w:rPr>
          <w:b/>
          <w:lang w:val="en-NZ" w:eastAsia="ko-KR"/>
        </w:rPr>
        <w:t>(</w:t>
      </w:r>
      <w:r w:rsidRPr="00441526">
        <w:rPr>
          <w:b/>
          <w:lang w:val="en-NZ" w:eastAsia="ko-KR"/>
        </w:rPr>
        <w:t>s</w:t>
      </w:r>
      <w:r w:rsidR="00441526" w:rsidRPr="00441526">
        <w:rPr>
          <w:b/>
          <w:lang w:val="en-NZ" w:eastAsia="ko-KR"/>
        </w:rPr>
        <w:t>)</w:t>
      </w:r>
    </w:p>
    <w:p w14:paraId="70585188" w14:textId="77777777" w:rsidR="00671921" w:rsidRPr="00466C10" w:rsidRDefault="0076136A" w:rsidP="00466C10">
      <w:pPr>
        <w:pStyle w:val="ListParagraph"/>
        <w:numPr>
          <w:ilvl w:val="0"/>
          <w:numId w:val="18"/>
        </w:numPr>
        <w:spacing w:after="120"/>
        <w:ind w:left="709" w:hanging="425"/>
        <w:jc w:val="thaiDistribute"/>
        <w:rPr>
          <w:lang w:val="fr-FR"/>
        </w:rPr>
      </w:pPr>
      <w:r w:rsidRPr="005C348E">
        <w:rPr>
          <w:lang w:val="fr-FR"/>
        </w:rPr>
        <w:t xml:space="preserve">Some APT Members </w:t>
      </w:r>
      <w:r>
        <w:rPr>
          <w:lang w:val="fr-FR"/>
        </w:rPr>
        <w:t xml:space="preserve">support to consider the frequency band </w:t>
      </w:r>
      <w:r w:rsidRPr="00466C10">
        <w:rPr>
          <w:lang w:val="fr-FR"/>
        </w:rPr>
        <w:t>5 850-5 925MHz or part of this frequency range as global or regional harmonized frequency band</w:t>
      </w:r>
      <w:r w:rsidR="00727855">
        <w:rPr>
          <w:rFonts w:hint="eastAsia"/>
          <w:lang w:val="fr-FR" w:eastAsia="zh-CN"/>
        </w:rPr>
        <w:t xml:space="preserve"> </w:t>
      </w:r>
      <w:r w:rsidR="00727855">
        <w:rPr>
          <w:lang w:eastAsia="zh-CN"/>
        </w:rPr>
        <w:t>for ITS</w:t>
      </w:r>
      <w:r w:rsidRPr="00466C10">
        <w:rPr>
          <w:lang w:val="fr-FR"/>
        </w:rPr>
        <w:t>.</w:t>
      </w:r>
    </w:p>
    <w:p w14:paraId="073CC15A" w14:textId="77777777" w:rsidR="0034458A" w:rsidRPr="005C348E" w:rsidRDefault="00657B68" w:rsidP="00466C10">
      <w:pPr>
        <w:pStyle w:val="ListParagraph"/>
        <w:numPr>
          <w:ilvl w:val="0"/>
          <w:numId w:val="18"/>
        </w:numPr>
        <w:spacing w:after="120"/>
        <w:ind w:left="709" w:hanging="425"/>
        <w:jc w:val="thaiDistribute"/>
        <w:rPr>
          <w:lang w:eastAsia="zh-CN"/>
        </w:rPr>
      </w:pPr>
      <w:r w:rsidRPr="005C348E">
        <w:rPr>
          <w:lang w:val="fr-FR"/>
        </w:rPr>
        <w:t xml:space="preserve">Some APT Members are of the view that </w:t>
      </w:r>
      <w:r w:rsidR="0071367C" w:rsidRPr="005C348E">
        <w:rPr>
          <w:lang w:eastAsia="zh-CN"/>
        </w:rPr>
        <w:t xml:space="preserve">frequency bands </w:t>
      </w:r>
      <w:r w:rsidR="00EC7F6D" w:rsidRPr="00466C10">
        <w:rPr>
          <w:lang w:eastAsia="zh-CN"/>
        </w:rPr>
        <w:t xml:space="preserve">with existing mobile service allocations </w:t>
      </w:r>
      <w:r w:rsidR="0071367C" w:rsidRPr="005C348E">
        <w:rPr>
          <w:lang w:eastAsia="zh-CN"/>
        </w:rPr>
        <w:t xml:space="preserve">that </w:t>
      </w:r>
      <w:r w:rsidR="00EC7F6D" w:rsidRPr="00466C10">
        <w:rPr>
          <w:lang w:eastAsia="zh-CN"/>
        </w:rPr>
        <w:t xml:space="preserve">are </w:t>
      </w:r>
      <w:r w:rsidR="0071367C" w:rsidRPr="005C348E">
        <w:rPr>
          <w:lang w:eastAsia="zh-CN"/>
        </w:rPr>
        <w:t xml:space="preserve">already </w:t>
      </w:r>
      <w:r w:rsidRPr="005C348E">
        <w:rPr>
          <w:lang w:eastAsia="zh-CN"/>
        </w:rPr>
        <w:t>in use by</w:t>
      </w:r>
      <w:r w:rsidR="0071367C" w:rsidRPr="005C348E">
        <w:rPr>
          <w:lang w:eastAsia="zh-CN"/>
        </w:rPr>
        <w:t xml:space="preserve"> ITS on a regional (or sub-regional) basis</w:t>
      </w:r>
      <w:r w:rsidR="00EC7F6D" w:rsidRPr="00466C10">
        <w:rPr>
          <w:lang w:eastAsia="zh-CN"/>
        </w:rPr>
        <w:t xml:space="preserve">, could also be used by the new generation of co-operative ITS. </w:t>
      </w:r>
    </w:p>
    <w:p w14:paraId="40D23F62" w14:textId="77777777" w:rsidR="00EB3C56" w:rsidRPr="00FD6B6C" w:rsidRDefault="00DA018D" w:rsidP="003E3973">
      <w:pPr>
        <w:pStyle w:val="1"/>
        <w:numPr>
          <w:ilvl w:val="0"/>
          <w:numId w:val="18"/>
        </w:numPr>
        <w:spacing w:beforeLines="50" w:before="120" w:after="120"/>
        <w:ind w:left="709" w:hanging="425"/>
        <w:jc w:val="both"/>
        <w:rPr>
          <w:lang w:val="fr-FR"/>
        </w:rPr>
      </w:pPr>
      <w:r>
        <w:rPr>
          <w:lang w:val="fr-FR"/>
        </w:rPr>
        <w:t xml:space="preserve">Some APT Members </w:t>
      </w:r>
      <w:r w:rsidR="002413D6">
        <w:rPr>
          <w:lang w:val="fr-FR"/>
        </w:rPr>
        <w:t>support the Method</w:t>
      </w:r>
      <w:r w:rsidR="008409F1">
        <w:rPr>
          <w:lang w:val="fr-FR"/>
        </w:rPr>
        <w:t xml:space="preserve"> of </w:t>
      </w:r>
      <w:r w:rsidR="00EB3C56" w:rsidRPr="00FD6B6C">
        <w:rPr>
          <w:lang w:val="fr-FR"/>
        </w:rPr>
        <w:t>no change</w:t>
      </w:r>
      <w:r w:rsidR="008409F1">
        <w:rPr>
          <w:lang w:val="fr-FR"/>
        </w:rPr>
        <w:t>s to</w:t>
      </w:r>
      <w:r w:rsidR="00EB3C56" w:rsidRPr="00FD6B6C">
        <w:rPr>
          <w:lang w:val="fr-FR"/>
        </w:rPr>
        <w:t xml:space="preserve"> the Radio Regulations</w:t>
      </w:r>
      <w:r w:rsidR="004C440C">
        <w:rPr>
          <w:lang w:val="fr-FR"/>
        </w:rPr>
        <w:t xml:space="preserve"> under </w:t>
      </w:r>
      <w:r w:rsidR="00EB3C56" w:rsidRPr="00FD6B6C">
        <w:rPr>
          <w:lang w:val="fr-FR"/>
        </w:rPr>
        <w:t>th</w:t>
      </w:r>
      <w:r w:rsidR="004C440C">
        <w:rPr>
          <w:lang w:val="fr-FR"/>
        </w:rPr>
        <w:t>is</w:t>
      </w:r>
      <w:r w:rsidR="00EB3C56" w:rsidRPr="00FD6B6C">
        <w:rPr>
          <w:lang w:val="fr-FR"/>
        </w:rPr>
        <w:t xml:space="preserve"> agenda item</w:t>
      </w:r>
      <w:r w:rsidR="004C440C">
        <w:rPr>
          <w:lang w:val="fr-FR"/>
        </w:rPr>
        <w:t xml:space="preserve"> </w:t>
      </w:r>
      <w:r w:rsidR="00ED2F1A">
        <w:rPr>
          <w:lang w:val="fr-FR"/>
        </w:rPr>
        <w:t xml:space="preserve">and </w:t>
      </w:r>
      <w:r w:rsidR="00EB3C56" w:rsidRPr="00FD6B6C">
        <w:rPr>
          <w:lang w:val="fr-FR"/>
        </w:rPr>
        <w:t>satisf</w:t>
      </w:r>
      <w:r w:rsidR="000800A7">
        <w:rPr>
          <w:lang w:val="fr-FR"/>
        </w:rPr>
        <w:t>y this agenda item</w:t>
      </w:r>
      <w:r w:rsidR="00EB3C56" w:rsidRPr="00FD6B6C">
        <w:rPr>
          <w:lang w:val="fr-FR"/>
        </w:rPr>
        <w:t xml:space="preserve"> through ITU-R Recommendation and/or Report.</w:t>
      </w:r>
    </w:p>
    <w:p w14:paraId="5CD67A73" w14:textId="77777777" w:rsidR="00EB3C56" w:rsidRPr="00FD6B6C" w:rsidRDefault="00DA018D" w:rsidP="003E3973">
      <w:pPr>
        <w:pStyle w:val="1"/>
        <w:numPr>
          <w:ilvl w:val="0"/>
          <w:numId w:val="18"/>
        </w:numPr>
        <w:spacing w:beforeLines="50" w:before="120" w:after="120"/>
        <w:ind w:left="709" w:hanging="425"/>
        <w:jc w:val="both"/>
        <w:rPr>
          <w:rFonts w:eastAsiaTheme="minorEastAsia"/>
          <w:lang w:eastAsia="zh-CN"/>
        </w:rPr>
      </w:pPr>
      <w:r>
        <w:rPr>
          <w:lang w:val="fr-FR"/>
        </w:rPr>
        <w:t xml:space="preserve">Some </w:t>
      </w:r>
      <w:r w:rsidR="00430D43">
        <w:rPr>
          <w:lang w:val="fr-FR"/>
        </w:rPr>
        <w:t xml:space="preserve">other </w:t>
      </w:r>
      <w:r>
        <w:rPr>
          <w:lang w:val="fr-FR"/>
        </w:rPr>
        <w:t xml:space="preserve">APT Members </w:t>
      </w:r>
      <w:r w:rsidR="00430D43">
        <w:rPr>
          <w:lang w:val="fr-FR"/>
        </w:rPr>
        <w:t xml:space="preserve">support </w:t>
      </w:r>
      <w:r w:rsidR="00EB3C56" w:rsidRPr="00FD6B6C">
        <w:rPr>
          <w:rFonts w:eastAsia="SimSun" w:cs="Times New Roman"/>
          <w:lang w:eastAsia="zh-CN"/>
        </w:rPr>
        <w:t xml:space="preserve">the </w:t>
      </w:r>
      <w:r w:rsidR="000F0AB3">
        <w:rPr>
          <w:rFonts w:eastAsia="SimSun" w:cs="Times New Roman"/>
          <w:lang w:eastAsia="zh-CN"/>
        </w:rPr>
        <w:t>M</w:t>
      </w:r>
      <w:r w:rsidR="00EB3C56" w:rsidRPr="00FD6B6C">
        <w:rPr>
          <w:rFonts w:eastAsia="SimSun" w:cs="Times New Roman"/>
          <w:lang w:eastAsia="zh-CN"/>
        </w:rPr>
        <w:t>ethod of adding one new WRC</w:t>
      </w:r>
      <w:r w:rsidR="00727855">
        <w:rPr>
          <w:rFonts w:eastAsia="SimSun" w:cs="Times New Roman"/>
          <w:lang w:eastAsia="zh-CN"/>
        </w:rPr>
        <w:t>-19</w:t>
      </w:r>
      <w:r w:rsidR="00EB3C56" w:rsidRPr="00FD6B6C">
        <w:rPr>
          <w:rFonts w:eastAsia="SimSun" w:cs="Times New Roman"/>
          <w:lang w:eastAsia="zh-CN"/>
        </w:rPr>
        <w:t xml:space="preserve"> Resolution </w:t>
      </w:r>
      <w:r w:rsidR="000800A7">
        <w:rPr>
          <w:lang w:val="fr-FR"/>
        </w:rPr>
        <w:t xml:space="preserve">under </w:t>
      </w:r>
      <w:r w:rsidR="000800A7" w:rsidRPr="00FD6B6C">
        <w:rPr>
          <w:lang w:val="fr-FR"/>
        </w:rPr>
        <w:t>th</w:t>
      </w:r>
      <w:r w:rsidR="000800A7">
        <w:rPr>
          <w:lang w:val="fr-FR"/>
        </w:rPr>
        <w:t>is</w:t>
      </w:r>
      <w:r w:rsidR="000800A7" w:rsidRPr="00FD6B6C">
        <w:rPr>
          <w:lang w:val="fr-FR"/>
        </w:rPr>
        <w:t xml:space="preserve"> agenda item</w:t>
      </w:r>
      <w:r w:rsidR="000800A7">
        <w:rPr>
          <w:lang w:val="fr-FR"/>
        </w:rPr>
        <w:t xml:space="preserve"> </w:t>
      </w:r>
      <w:r w:rsidR="00EB3C56" w:rsidRPr="00FD6B6C">
        <w:rPr>
          <w:rFonts w:eastAsia="SimSun" w:cs="Times New Roman"/>
          <w:lang w:eastAsia="zh-CN"/>
        </w:rPr>
        <w:t>for global or regional harmonized frequency bands of evolving Intelligent Transport Systems.</w:t>
      </w:r>
    </w:p>
    <w:p w14:paraId="2B24848A" w14:textId="77777777" w:rsidR="00B64A60" w:rsidRPr="00441526" w:rsidRDefault="00B64A60" w:rsidP="00B64A60">
      <w:pPr>
        <w:rPr>
          <w:lang w:val="en-NZ"/>
        </w:rPr>
      </w:pPr>
    </w:p>
    <w:p w14:paraId="32FD7827" w14:textId="77777777" w:rsidR="000B35CE" w:rsidRPr="00252484" w:rsidRDefault="000B35CE" w:rsidP="000B35CE">
      <w:pPr>
        <w:spacing w:after="120"/>
        <w:jc w:val="both"/>
        <w:rPr>
          <w:b/>
          <w:lang w:val="en-NZ" w:eastAsia="ko-KR"/>
        </w:rPr>
      </w:pPr>
      <w:r w:rsidRPr="00252484">
        <w:rPr>
          <w:b/>
          <w:lang w:val="en-NZ" w:eastAsia="ko-KR"/>
        </w:rPr>
        <w:t xml:space="preserve">6. </w:t>
      </w:r>
      <w:r w:rsidRPr="00252484">
        <w:rPr>
          <w:b/>
          <w:lang w:val="en-NZ" w:eastAsia="ko-KR"/>
        </w:rPr>
        <w:tab/>
        <w:t>Issues for Consideration at Next APG Meeting</w:t>
      </w:r>
    </w:p>
    <w:p w14:paraId="40F737BA" w14:textId="77777777" w:rsidR="0028516A" w:rsidRPr="00466C10" w:rsidRDefault="00F070D8" w:rsidP="00466C10">
      <w:pPr>
        <w:pStyle w:val="1"/>
        <w:numPr>
          <w:ilvl w:val="0"/>
          <w:numId w:val="18"/>
        </w:numPr>
        <w:spacing w:beforeLines="50" w:before="120" w:after="120"/>
        <w:ind w:left="709" w:hanging="425"/>
        <w:jc w:val="both"/>
        <w:rPr>
          <w:lang w:val="fr-FR"/>
        </w:rPr>
      </w:pPr>
      <w:r w:rsidRPr="00466C10">
        <w:rPr>
          <w:lang w:val="fr-FR"/>
        </w:rPr>
        <w:t>APT Members are encouraged to contribute to the APG19-4 in considering Methods to satisfy the agenda item</w:t>
      </w:r>
      <w:r w:rsidR="0028516A" w:rsidRPr="00466C10">
        <w:rPr>
          <w:lang w:val="fr-FR"/>
        </w:rPr>
        <w:t>.</w:t>
      </w:r>
    </w:p>
    <w:p w14:paraId="67219FF4" w14:textId="77777777" w:rsidR="00D04C05" w:rsidRDefault="00D04C05" w:rsidP="00466C10">
      <w:pPr>
        <w:pStyle w:val="1"/>
        <w:numPr>
          <w:ilvl w:val="0"/>
          <w:numId w:val="18"/>
        </w:numPr>
        <w:spacing w:beforeLines="50" w:before="120" w:after="120"/>
        <w:ind w:left="709" w:hanging="425"/>
        <w:jc w:val="both"/>
        <w:rPr>
          <w:lang w:val="fr-FR"/>
        </w:rPr>
      </w:pPr>
      <w:r w:rsidRPr="00466C10">
        <w:rPr>
          <w:lang w:val="fr-FR"/>
        </w:rPr>
        <w:t xml:space="preserve">APT Members are encouraged to review the outcome of the draft CPM text and are invited to contribute on issues in </w:t>
      </w:r>
      <w:r w:rsidR="007829D9">
        <w:rPr>
          <w:lang w:val="fr-FR"/>
        </w:rPr>
        <w:t xml:space="preserve">the </w:t>
      </w:r>
      <w:r w:rsidRPr="00466C10">
        <w:rPr>
          <w:lang w:val="fr-FR"/>
        </w:rPr>
        <w:t>draft CPM text.</w:t>
      </w:r>
    </w:p>
    <w:p w14:paraId="10023520" w14:textId="77777777" w:rsidR="00984AB6" w:rsidRPr="00466C10" w:rsidRDefault="00984AB6" w:rsidP="00466C10">
      <w:pPr>
        <w:pStyle w:val="1"/>
        <w:numPr>
          <w:ilvl w:val="0"/>
          <w:numId w:val="18"/>
        </w:numPr>
        <w:spacing w:beforeLines="50" w:before="120" w:after="120"/>
        <w:ind w:left="709" w:hanging="425"/>
        <w:jc w:val="both"/>
        <w:rPr>
          <w:lang w:val="fr-FR"/>
        </w:rPr>
      </w:pPr>
      <w:r w:rsidRPr="00D30B98">
        <w:rPr>
          <w:lang w:val="fr-FR"/>
        </w:rPr>
        <w:t>APT Members are encouraged to contribute to the APG19-4 in considering</w:t>
      </w:r>
      <w:r>
        <w:rPr>
          <w:lang w:val="fr-FR"/>
        </w:rPr>
        <w:t xml:space="preserve"> </w:t>
      </w:r>
      <w:r w:rsidRPr="00D30B98">
        <w:rPr>
          <w:lang w:val="en-GB"/>
        </w:rPr>
        <w:t>possible frequency band</w:t>
      </w:r>
      <w:r>
        <w:rPr>
          <w:lang w:val="en-GB"/>
        </w:rPr>
        <w:t>s</w:t>
      </w:r>
      <w:r w:rsidRPr="00D30B98">
        <w:rPr>
          <w:lang w:val="en-GB"/>
        </w:rPr>
        <w:t xml:space="preserve"> to be harmonized for ITS</w:t>
      </w:r>
      <w:r>
        <w:rPr>
          <w:lang w:val="en-GB"/>
        </w:rPr>
        <w:t>.</w:t>
      </w:r>
    </w:p>
    <w:p w14:paraId="3FBCCC2A" w14:textId="77777777" w:rsidR="0028516A" w:rsidRPr="00441526" w:rsidRDefault="0028516A" w:rsidP="00B64A60">
      <w:pPr>
        <w:rPr>
          <w:lang w:val="en-NZ"/>
        </w:rPr>
      </w:pPr>
    </w:p>
    <w:p w14:paraId="48F1424C" w14:textId="77777777" w:rsidR="003B4FD1" w:rsidRPr="00441526" w:rsidRDefault="000B35CE" w:rsidP="003B4FD1">
      <w:pPr>
        <w:rPr>
          <w:lang w:val="en-NZ"/>
        </w:rPr>
      </w:pPr>
      <w:r>
        <w:rPr>
          <w:b/>
          <w:lang w:val="en-NZ"/>
        </w:rPr>
        <w:t>7</w:t>
      </w:r>
      <w:r w:rsidR="00D53688" w:rsidRPr="00441526">
        <w:rPr>
          <w:b/>
          <w:lang w:val="en-NZ"/>
        </w:rPr>
        <w:t xml:space="preserve">. </w:t>
      </w:r>
      <w:r w:rsidR="00D53688" w:rsidRPr="00441526">
        <w:rPr>
          <w:b/>
          <w:lang w:val="en-NZ"/>
        </w:rPr>
        <w:tab/>
        <w:t xml:space="preserve">Views from Other </w:t>
      </w:r>
      <w:r w:rsidR="00A564FB" w:rsidRPr="00441526">
        <w:rPr>
          <w:b/>
          <w:lang w:val="en-NZ"/>
        </w:rPr>
        <w:t>Organisations</w:t>
      </w:r>
    </w:p>
    <w:p w14:paraId="6A892BAF" w14:textId="77777777" w:rsidR="003B4FD1" w:rsidRPr="00441526" w:rsidRDefault="00EF3891" w:rsidP="00466C10">
      <w:pPr>
        <w:spacing w:before="120" w:after="120"/>
        <w:jc w:val="both"/>
        <w:rPr>
          <w:b/>
          <w:lang w:val="en-NZ" w:eastAsia="ko-KR"/>
        </w:rPr>
      </w:pPr>
      <w:r>
        <w:rPr>
          <w:b/>
          <w:lang w:val="en-NZ" w:eastAsia="ko-KR"/>
        </w:rPr>
        <w:t>7</w:t>
      </w:r>
      <w:r w:rsidR="003B4FD1" w:rsidRPr="00441526">
        <w:rPr>
          <w:b/>
          <w:lang w:val="en-NZ" w:eastAsia="ko-KR"/>
        </w:rPr>
        <w:t xml:space="preserve">.1 </w:t>
      </w:r>
      <w:r w:rsidR="003B4FD1" w:rsidRPr="00441526">
        <w:rPr>
          <w:b/>
          <w:lang w:val="en-NZ" w:eastAsia="ko-KR"/>
        </w:rPr>
        <w:tab/>
        <w:t xml:space="preserve">Regional </w:t>
      </w:r>
      <w:r w:rsidR="009F547A" w:rsidRPr="00441526">
        <w:rPr>
          <w:b/>
          <w:lang w:val="en-NZ" w:eastAsia="ko-KR"/>
        </w:rPr>
        <w:t>Groups</w:t>
      </w:r>
    </w:p>
    <w:p w14:paraId="2B5DBCC1" w14:textId="77777777" w:rsidR="003B4FD1" w:rsidRPr="00441526" w:rsidRDefault="00EF3891" w:rsidP="003B4FD1">
      <w:pPr>
        <w:spacing w:after="120"/>
        <w:jc w:val="both"/>
        <w:rPr>
          <w:b/>
          <w:lang w:val="en-NZ" w:eastAsia="ko-KR"/>
        </w:rPr>
      </w:pPr>
      <w:r>
        <w:rPr>
          <w:b/>
          <w:lang w:val="en-NZ" w:eastAsia="ko-KR"/>
        </w:rPr>
        <w:t>7</w:t>
      </w:r>
      <w:r w:rsidR="003B4FD1" w:rsidRPr="00441526">
        <w:rPr>
          <w:b/>
          <w:lang w:val="en-NZ" w:eastAsia="ko-KR"/>
        </w:rPr>
        <w:t xml:space="preserve">.1.1 </w:t>
      </w:r>
      <w:r w:rsidR="003B4FD1" w:rsidRPr="00441526">
        <w:rPr>
          <w:b/>
          <w:lang w:val="en-NZ" w:eastAsia="ko-KR"/>
        </w:rPr>
        <w:tab/>
        <w:t>ASMG</w:t>
      </w:r>
      <w:r w:rsidR="009D46CE" w:rsidRPr="00441526">
        <w:t xml:space="preserve"> - </w:t>
      </w:r>
      <w:r w:rsidR="009D46CE" w:rsidRPr="00441526">
        <w:rPr>
          <w:b/>
          <w:lang w:val="en-NZ" w:eastAsia="ko-KR"/>
        </w:rPr>
        <w:t>Document APG19-</w:t>
      </w:r>
      <w:r w:rsidR="009317FD" w:rsidRPr="00073BF0">
        <w:rPr>
          <w:b/>
          <w:lang w:val="en-NZ" w:eastAsia="ko-KR"/>
        </w:rPr>
        <w:t>2</w:t>
      </w:r>
      <w:r w:rsidR="009D46CE" w:rsidRPr="00441526">
        <w:rPr>
          <w:b/>
          <w:lang w:val="en-NZ" w:eastAsia="ko-KR"/>
        </w:rPr>
        <w:t>/INF-</w:t>
      </w:r>
      <w:r w:rsidR="009317FD">
        <w:rPr>
          <w:b/>
          <w:lang w:val="en-NZ" w:eastAsia="ko-KR"/>
        </w:rPr>
        <w:t>1</w:t>
      </w:r>
    </w:p>
    <w:p w14:paraId="461F0C55" w14:textId="77777777" w:rsidR="009317FD" w:rsidRPr="0012390B" w:rsidRDefault="009317FD" w:rsidP="0012390B">
      <w:pPr>
        <w:numPr>
          <w:ilvl w:val="0"/>
          <w:numId w:val="18"/>
        </w:numPr>
        <w:ind w:leftChars="145" w:left="708"/>
        <w:rPr>
          <w:lang w:val="en-NZ"/>
        </w:rPr>
      </w:pPr>
      <w:r w:rsidRPr="0012390B">
        <w:rPr>
          <w:lang w:val="en-NZ"/>
        </w:rPr>
        <w:t>Follow-up studies, and request administrations to consider the possibility of identifying appropriate frequency bands for these systems within the current allocations of the mobile service.</w:t>
      </w:r>
    </w:p>
    <w:p w14:paraId="3028F903" w14:textId="77777777" w:rsidR="003B4FD1" w:rsidRPr="00441526" w:rsidRDefault="003B4FD1" w:rsidP="003B4FD1">
      <w:pPr>
        <w:rPr>
          <w:lang w:val="en-NZ"/>
        </w:rPr>
      </w:pPr>
    </w:p>
    <w:p w14:paraId="2EE5C3A7" w14:textId="77777777" w:rsidR="003B4FD1" w:rsidRPr="00441526" w:rsidRDefault="00EF3891" w:rsidP="003B4FD1">
      <w:pPr>
        <w:spacing w:after="120"/>
        <w:jc w:val="both"/>
        <w:rPr>
          <w:b/>
          <w:lang w:val="en-NZ" w:eastAsia="ko-KR"/>
        </w:rPr>
      </w:pPr>
      <w:r>
        <w:rPr>
          <w:b/>
          <w:lang w:val="en-NZ" w:eastAsia="ko-KR"/>
        </w:rPr>
        <w:t>7</w:t>
      </w:r>
      <w:r w:rsidR="009F547A" w:rsidRPr="00441526">
        <w:rPr>
          <w:b/>
          <w:lang w:val="en-NZ" w:eastAsia="ko-KR"/>
        </w:rPr>
        <w:t>.1</w:t>
      </w:r>
      <w:r w:rsidR="003B4FD1" w:rsidRPr="00441526">
        <w:rPr>
          <w:b/>
          <w:lang w:val="en-NZ" w:eastAsia="ko-KR"/>
        </w:rPr>
        <w:t xml:space="preserve">.2 </w:t>
      </w:r>
      <w:r w:rsidR="003B4FD1" w:rsidRPr="00441526">
        <w:rPr>
          <w:b/>
          <w:lang w:val="en-NZ" w:eastAsia="ko-KR"/>
        </w:rPr>
        <w:tab/>
        <w:t>ATU</w:t>
      </w:r>
      <w:r w:rsidR="009D46CE" w:rsidRPr="00441526">
        <w:rPr>
          <w:b/>
          <w:lang w:val="en-NZ" w:eastAsia="ko-KR"/>
        </w:rPr>
        <w:t xml:space="preserve"> </w:t>
      </w:r>
      <w:r w:rsidR="009D46CE" w:rsidRPr="00441526">
        <w:t xml:space="preserve">- </w:t>
      </w:r>
      <w:r w:rsidR="009D46CE" w:rsidRPr="00441526">
        <w:rPr>
          <w:b/>
          <w:lang w:val="en-NZ" w:eastAsia="ko-KR"/>
        </w:rPr>
        <w:t>Document APG19-</w:t>
      </w:r>
      <w:r w:rsidR="00596BE8" w:rsidRPr="00073BF0">
        <w:rPr>
          <w:b/>
          <w:lang w:val="en-NZ" w:eastAsia="ko-KR"/>
        </w:rPr>
        <w:t>2</w:t>
      </w:r>
      <w:r w:rsidR="009D46CE" w:rsidRPr="00441526">
        <w:rPr>
          <w:b/>
          <w:lang w:val="en-NZ" w:eastAsia="ko-KR"/>
        </w:rPr>
        <w:t>/INF-</w:t>
      </w:r>
      <w:r w:rsidR="00596BE8">
        <w:rPr>
          <w:b/>
          <w:lang w:val="en-NZ" w:eastAsia="ko-KR"/>
        </w:rPr>
        <w:t>7</w:t>
      </w:r>
    </w:p>
    <w:p w14:paraId="3F8FB629" w14:textId="77777777" w:rsidR="003B4FD1" w:rsidRPr="00A2429B" w:rsidRDefault="00A2429B" w:rsidP="0012390B">
      <w:pPr>
        <w:pStyle w:val="ListParagraph"/>
        <w:numPr>
          <w:ilvl w:val="0"/>
          <w:numId w:val="18"/>
        </w:numPr>
        <w:ind w:leftChars="145" w:left="708"/>
        <w:jc w:val="both"/>
        <w:rPr>
          <w:lang w:val="en-NZ"/>
        </w:rPr>
      </w:pPr>
      <w:r>
        <w:t>No preliminary position on this agenda item yet.</w:t>
      </w:r>
    </w:p>
    <w:p w14:paraId="074C0A3B" w14:textId="77777777" w:rsidR="00D53688" w:rsidRPr="00441526" w:rsidRDefault="00D53688" w:rsidP="00D53688">
      <w:pPr>
        <w:rPr>
          <w:b/>
          <w:lang w:val="en-NZ"/>
        </w:rPr>
      </w:pPr>
    </w:p>
    <w:p w14:paraId="0B3129EA" w14:textId="77777777" w:rsidR="00906C89" w:rsidRDefault="00EF3891" w:rsidP="00906C89">
      <w:pPr>
        <w:spacing w:after="120"/>
        <w:jc w:val="both"/>
        <w:rPr>
          <w:b/>
          <w:lang w:val="en-NZ" w:eastAsia="ko-KR"/>
        </w:rPr>
      </w:pPr>
      <w:r>
        <w:rPr>
          <w:b/>
          <w:lang w:val="en-NZ" w:eastAsia="ko-KR"/>
        </w:rPr>
        <w:t>7</w:t>
      </w:r>
      <w:r w:rsidR="00906C89">
        <w:rPr>
          <w:b/>
          <w:lang w:val="en-NZ" w:eastAsia="ko-KR"/>
        </w:rPr>
        <w:t xml:space="preserve">.1.3 </w:t>
      </w:r>
      <w:r w:rsidR="00906C89">
        <w:rPr>
          <w:b/>
          <w:lang w:val="en-NZ" w:eastAsia="ko-KR"/>
        </w:rPr>
        <w:tab/>
        <w:t xml:space="preserve">CEPT </w:t>
      </w:r>
      <w:r w:rsidR="00906C89">
        <w:t xml:space="preserve">- </w:t>
      </w:r>
      <w:r w:rsidR="00906C89">
        <w:rPr>
          <w:b/>
          <w:lang w:val="en-NZ" w:eastAsia="ko-KR"/>
        </w:rPr>
        <w:t>Document APG19-3/INF-06</w:t>
      </w:r>
    </w:p>
    <w:p w14:paraId="7821BD7C" w14:textId="77777777" w:rsidR="00906C89" w:rsidRDefault="00906C89" w:rsidP="0012390B">
      <w:pPr>
        <w:autoSpaceDE w:val="0"/>
        <w:autoSpaceDN w:val="0"/>
        <w:adjustRightInd w:val="0"/>
        <w:ind w:firstLine="720"/>
        <w:jc w:val="both"/>
        <w:rPr>
          <w:b/>
          <w:bCs/>
        </w:rPr>
      </w:pPr>
      <w:r>
        <w:rPr>
          <w:b/>
          <w:bCs/>
        </w:rPr>
        <w:t>Preliminary CEPT position:</w:t>
      </w:r>
    </w:p>
    <w:p w14:paraId="416F4930" w14:textId="77777777" w:rsidR="00906C89" w:rsidRDefault="00906C89" w:rsidP="00906C89">
      <w:pPr>
        <w:pStyle w:val="ListParagraph"/>
        <w:numPr>
          <w:ilvl w:val="0"/>
          <w:numId w:val="30"/>
        </w:numPr>
        <w:autoSpaceDE w:val="0"/>
        <w:autoSpaceDN w:val="0"/>
        <w:adjustRightInd w:val="0"/>
        <w:contextualSpacing/>
        <w:jc w:val="both"/>
      </w:pPr>
      <w:r>
        <w:t xml:space="preserve">CEPT is of the view that its existing regional harmonisation measures for ITS in the band 5 855-5 925 MHz are sufficient and no changes to the RR are required in response to WRC-19 Agenda item 1.12. CEPT is developing a revision of its existing </w:t>
      </w:r>
      <w:r w:rsidR="00ED349E">
        <w:t xml:space="preserve">harmonisation </w:t>
      </w:r>
      <w:r>
        <w:t>framework for ITS around 63-64 GHz.</w:t>
      </w:r>
    </w:p>
    <w:p w14:paraId="65579C1D" w14:textId="77777777" w:rsidR="00906C89" w:rsidRDefault="00906C89" w:rsidP="00906C89">
      <w:pPr>
        <w:pStyle w:val="ListParagraph"/>
        <w:numPr>
          <w:ilvl w:val="0"/>
          <w:numId w:val="30"/>
        </w:numPr>
        <w:autoSpaceDE w:val="0"/>
        <w:autoSpaceDN w:val="0"/>
        <w:adjustRightInd w:val="0"/>
        <w:contextualSpacing/>
        <w:jc w:val="both"/>
      </w:pPr>
      <w:r>
        <w:t>CEPT is of the view that harmonisation measures for ITS on ITU-R level can be achieved through the development of an ITU-R Recommendation (and an ITU-R Report if needed).</w:t>
      </w:r>
    </w:p>
    <w:p w14:paraId="6D0CF107" w14:textId="77777777" w:rsidR="00906C89" w:rsidRDefault="00906C89" w:rsidP="00906C89">
      <w:pPr>
        <w:pStyle w:val="ListParagraph"/>
        <w:numPr>
          <w:ilvl w:val="0"/>
          <w:numId w:val="30"/>
        </w:numPr>
        <w:autoSpaceDE w:val="0"/>
        <w:autoSpaceDN w:val="0"/>
        <w:adjustRightInd w:val="0"/>
        <w:contextualSpacing/>
        <w:jc w:val="both"/>
      </w:pPr>
      <w:r>
        <w:t>CEPT is also of the view that harmonisation of ITS under AI 1.12 is limited to the exchange of information to improve traffic management and assisting safe driving.</w:t>
      </w:r>
    </w:p>
    <w:p w14:paraId="24879A59" w14:textId="77777777" w:rsidR="00906C89" w:rsidRDefault="00906C89" w:rsidP="00906C89">
      <w:pPr>
        <w:pStyle w:val="ListParagraph"/>
        <w:numPr>
          <w:ilvl w:val="0"/>
          <w:numId w:val="30"/>
        </w:numPr>
        <w:autoSpaceDE w:val="0"/>
        <w:autoSpaceDN w:val="0"/>
        <w:adjustRightInd w:val="0"/>
        <w:contextualSpacing/>
        <w:jc w:val="both"/>
      </w:pPr>
      <w:r>
        <w:lastRenderedPageBreak/>
        <w:t>In addition, CEPT is of the view that Road tolling (also known as Electronic Toll Collection (ETC)) in 5 795-5 815 MHz is not part of Agenda Item 1.12.</w:t>
      </w:r>
    </w:p>
    <w:p w14:paraId="0139051A" w14:textId="77777777" w:rsidR="00906C89" w:rsidRDefault="00906C89" w:rsidP="00466C10">
      <w:pPr>
        <w:autoSpaceDE w:val="0"/>
        <w:autoSpaceDN w:val="0"/>
        <w:adjustRightInd w:val="0"/>
        <w:spacing w:before="120"/>
        <w:ind w:firstLine="720"/>
        <w:jc w:val="both"/>
        <w:rPr>
          <w:b/>
          <w:bCs/>
        </w:rPr>
      </w:pPr>
      <w:r>
        <w:rPr>
          <w:b/>
          <w:bCs/>
        </w:rPr>
        <w:t xml:space="preserve">Preliminary </w:t>
      </w:r>
      <w:r w:rsidR="00EF3891" w:rsidRPr="00EF3891">
        <w:rPr>
          <w:b/>
          <w:bCs/>
        </w:rPr>
        <w:t>European Common Proposal (ECP)</w:t>
      </w:r>
      <w:r>
        <w:rPr>
          <w:b/>
          <w:bCs/>
        </w:rPr>
        <w:t>:</w:t>
      </w:r>
    </w:p>
    <w:p w14:paraId="038575D7" w14:textId="77777777" w:rsidR="00906C89" w:rsidRDefault="00906C89" w:rsidP="0012390B">
      <w:pPr>
        <w:autoSpaceDE w:val="0"/>
        <w:autoSpaceDN w:val="0"/>
        <w:adjustRightInd w:val="0"/>
        <w:ind w:firstLine="720"/>
        <w:jc w:val="both"/>
        <w:rPr>
          <w:u w:val="single"/>
        </w:rPr>
      </w:pPr>
      <w:r>
        <w:rPr>
          <w:u w:val="single"/>
        </w:rPr>
        <w:t>NOC</w:t>
      </w:r>
    </w:p>
    <w:p w14:paraId="32065FD9" w14:textId="77777777" w:rsidR="00906C89" w:rsidRDefault="00906C89" w:rsidP="00B90D11">
      <w:pPr>
        <w:autoSpaceDE w:val="0"/>
        <w:autoSpaceDN w:val="0"/>
        <w:adjustRightInd w:val="0"/>
        <w:ind w:left="720"/>
        <w:jc w:val="both"/>
      </w:pPr>
      <w:r w:rsidRPr="00073BF0">
        <w:t>Reasons</w:t>
      </w:r>
      <w:r>
        <w:rPr>
          <w:b/>
          <w:bCs/>
        </w:rPr>
        <w:t xml:space="preserve">: </w:t>
      </w:r>
      <w:r>
        <w:t xml:space="preserve">An ITU-R Recommendation, which is not referenced in the Radio Regulations, </w:t>
      </w:r>
      <w:bookmarkStart w:id="7" w:name="_GoBack"/>
      <w:bookmarkEnd w:id="7"/>
      <w:r>
        <w:t>is considered sufficient to harmonize frequency bands for ITS pertaining to the exchange of information to improve traffic management and assisting safe driving.</w:t>
      </w:r>
    </w:p>
    <w:p w14:paraId="3997C349" w14:textId="77777777" w:rsidR="00906C89" w:rsidRDefault="00906C89" w:rsidP="00906C89">
      <w:pPr>
        <w:rPr>
          <w:lang w:val="en-NZ"/>
        </w:rPr>
      </w:pPr>
    </w:p>
    <w:p w14:paraId="0E2B8B98" w14:textId="77777777" w:rsidR="00906C89" w:rsidRDefault="00EF3891" w:rsidP="00906C89">
      <w:pPr>
        <w:spacing w:after="120"/>
        <w:jc w:val="both"/>
        <w:rPr>
          <w:b/>
          <w:lang w:val="en-NZ" w:eastAsia="ko-KR"/>
        </w:rPr>
      </w:pPr>
      <w:r>
        <w:rPr>
          <w:b/>
          <w:lang w:val="en-NZ" w:eastAsia="ko-KR"/>
        </w:rPr>
        <w:t>7</w:t>
      </w:r>
      <w:r w:rsidR="00906C89">
        <w:rPr>
          <w:b/>
          <w:lang w:val="en-NZ" w:eastAsia="ko-KR"/>
        </w:rPr>
        <w:t xml:space="preserve">.1.4 </w:t>
      </w:r>
      <w:r w:rsidR="00906C89">
        <w:rPr>
          <w:b/>
          <w:lang w:val="en-NZ" w:eastAsia="ko-KR"/>
        </w:rPr>
        <w:tab/>
        <w:t xml:space="preserve">CITEL </w:t>
      </w:r>
      <w:r w:rsidR="00906C89">
        <w:t xml:space="preserve">- </w:t>
      </w:r>
      <w:r w:rsidR="00906C89">
        <w:rPr>
          <w:b/>
          <w:lang w:val="en-NZ" w:eastAsia="ko-KR"/>
        </w:rPr>
        <w:t>Document APG19-3/INF-08</w:t>
      </w:r>
    </w:p>
    <w:p w14:paraId="37970DB4" w14:textId="77777777" w:rsidR="00906C89" w:rsidRPr="00073BF0" w:rsidRDefault="00906C89" w:rsidP="0012390B">
      <w:pPr>
        <w:numPr>
          <w:ilvl w:val="0"/>
          <w:numId w:val="18"/>
        </w:numPr>
        <w:ind w:leftChars="145" w:left="708"/>
        <w:rPr>
          <w:lang w:val="en-NZ"/>
        </w:rPr>
      </w:pPr>
      <w:r w:rsidRPr="00073BF0">
        <w:rPr>
          <w:lang w:val="en-NZ"/>
        </w:rPr>
        <w:t>No Change to the regulations. Identification of spectrum for applications to be addressed via ITU reports and recommendations.</w:t>
      </w:r>
    </w:p>
    <w:p w14:paraId="38F570CF" w14:textId="77777777" w:rsidR="00BC69DB" w:rsidRPr="00441526" w:rsidRDefault="00BC69DB">
      <w:pPr>
        <w:rPr>
          <w:b/>
          <w:lang w:val="en-NZ" w:eastAsia="ko-KR"/>
        </w:rPr>
      </w:pPr>
    </w:p>
    <w:p w14:paraId="3AF57470" w14:textId="77777777" w:rsidR="003B4FD1" w:rsidRPr="00441526" w:rsidRDefault="00EF3891" w:rsidP="003B4FD1">
      <w:pPr>
        <w:spacing w:after="120"/>
        <w:jc w:val="both"/>
        <w:rPr>
          <w:b/>
          <w:lang w:val="en-NZ" w:eastAsia="ko-KR"/>
        </w:rPr>
      </w:pPr>
      <w:r>
        <w:rPr>
          <w:b/>
          <w:lang w:val="en-NZ" w:eastAsia="ko-KR"/>
        </w:rPr>
        <w:t>7</w:t>
      </w:r>
      <w:r w:rsidR="009F547A" w:rsidRPr="00441526">
        <w:rPr>
          <w:b/>
          <w:lang w:val="en-NZ" w:eastAsia="ko-KR"/>
        </w:rPr>
        <w:t>.1</w:t>
      </w:r>
      <w:r w:rsidR="003B4FD1" w:rsidRPr="00441526">
        <w:rPr>
          <w:b/>
          <w:lang w:val="en-NZ" w:eastAsia="ko-KR"/>
        </w:rPr>
        <w:t xml:space="preserve">.5 </w:t>
      </w:r>
      <w:r w:rsidR="003B4FD1" w:rsidRPr="00441526">
        <w:rPr>
          <w:b/>
          <w:lang w:val="en-NZ" w:eastAsia="ko-KR"/>
        </w:rPr>
        <w:tab/>
        <w:t>RCC</w:t>
      </w:r>
      <w:r w:rsidR="009D46CE" w:rsidRPr="00441526">
        <w:rPr>
          <w:b/>
          <w:lang w:val="en-NZ" w:eastAsia="ko-KR"/>
        </w:rPr>
        <w:t xml:space="preserve"> </w:t>
      </w:r>
      <w:r w:rsidR="009D46CE" w:rsidRPr="00441526">
        <w:t xml:space="preserve">- </w:t>
      </w:r>
      <w:r w:rsidR="009D46CE" w:rsidRPr="00441526">
        <w:rPr>
          <w:b/>
          <w:lang w:val="en-NZ" w:eastAsia="ko-KR"/>
        </w:rPr>
        <w:t>Document APG19-</w:t>
      </w:r>
      <w:r w:rsidR="00BB69F9" w:rsidRPr="00073BF0">
        <w:rPr>
          <w:b/>
          <w:lang w:val="en-NZ" w:eastAsia="ko-KR"/>
        </w:rPr>
        <w:t>2</w:t>
      </w:r>
      <w:r w:rsidR="009D46CE" w:rsidRPr="00441526">
        <w:rPr>
          <w:b/>
          <w:lang w:val="en-NZ" w:eastAsia="ko-KR"/>
        </w:rPr>
        <w:t>/INF-</w:t>
      </w:r>
      <w:r w:rsidR="00BB69F9">
        <w:rPr>
          <w:b/>
          <w:lang w:val="en-NZ" w:eastAsia="ko-KR"/>
        </w:rPr>
        <w:t>5</w:t>
      </w:r>
    </w:p>
    <w:p w14:paraId="7580D236" w14:textId="77777777" w:rsidR="00BB69F9" w:rsidRPr="0012390B" w:rsidRDefault="00BB69F9" w:rsidP="0012390B">
      <w:pPr>
        <w:numPr>
          <w:ilvl w:val="0"/>
          <w:numId w:val="18"/>
        </w:numPr>
        <w:ind w:leftChars="145" w:left="708"/>
        <w:rPr>
          <w:lang w:val="en-NZ"/>
        </w:rPr>
      </w:pPr>
      <w:r w:rsidRPr="0012390B">
        <w:rPr>
          <w:lang w:val="en-NZ"/>
        </w:rPr>
        <w:t>The RCC Administrations consider it reasonable to harmonize frequency bands at global and regional levels within existing mobile service allocations in order to implement evolving Intelligent Transport Systems, including through the development of ITU-R Recommendations and Reports.</w:t>
      </w:r>
    </w:p>
    <w:p w14:paraId="6A0D668A" w14:textId="77777777" w:rsidR="00BB69F9" w:rsidRPr="0012390B" w:rsidRDefault="00BB69F9" w:rsidP="0012390B">
      <w:pPr>
        <w:numPr>
          <w:ilvl w:val="0"/>
          <w:numId w:val="18"/>
        </w:numPr>
        <w:ind w:leftChars="145" w:left="708"/>
        <w:rPr>
          <w:lang w:val="en-NZ"/>
        </w:rPr>
      </w:pPr>
      <w:r w:rsidRPr="0012390B">
        <w:rPr>
          <w:lang w:val="en-NZ"/>
        </w:rPr>
        <w:t>The RCC Administrations are of the view that the implementation of evolving transport systems within existing mobile service allocations shall not impose additional constraints on services already having allocations in these or adjacent frequency bands.</w:t>
      </w:r>
    </w:p>
    <w:p w14:paraId="1F239EF7" w14:textId="77777777" w:rsidR="003B4FD1" w:rsidRPr="00441526" w:rsidRDefault="003B4FD1" w:rsidP="00B64A60">
      <w:pPr>
        <w:rPr>
          <w:lang w:val="en-NZ"/>
        </w:rPr>
      </w:pPr>
    </w:p>
    <w:p w14:paraId="3496339C" w14:textId="77777777" w:rsidR="00441526" w:rsidRPr="00441526" w:rsidRDefault="00441526" w:rsidP="00B64A60">
      <w:pPr>
        <w:rPr>
          <w:lang w:val="en-NZ"/>
        </w:rPr>
      </w:pPr>
    </w:p>
    <w:p w14:paraId="0146C543" w14:textId="77777777" w:rsidR="003B4FD1" w:rsidRPr="00441526" w:rsidRDefault="00EF3891" w:rsidP="003B4FD1">
      <w:pPr>
        <w:spacing w:after="120"/>
        <w:jc w:val="both"/>
        <w:rPr>
          <w:b/>
          <w:lang w:val="en-NZ" w:eastAsia="ko-KR"/>
        </w:rPr>
      </w:pPr>
      <w:r>
        <w:rPr>
          <w:b/>
          <w:lang w:val="en-NZ" w:eastAsia="ko-KR"/>
        </w:rPr>
        <w:t>7</w:t>
      </w:r>
      <w:r w:rsidR="003B4FD1" w:rsidRPr="00441526">
        <w:rPr>
          <w:b/>
          <w:lang w:val="en-NZ" w:eastAsia="ko-KR"/>
        </w:rPr>
        <w:t xml:space="preserve">.2 </w:t>
      </w:r>
      <w:r w:rsidR="003B4FD1" w:rsidRPr="00441526">
        <w:rPr>
          <w:b/>
          <w:lang w:val="en-NZ" w:eastAsia="ko-KR"/>
        </w:rPr>
        <w:tab/>
      </w:r>
      <w:r w:rsidR="009F547A" w:rsidRPr="00441526">
        <w:rPr>
          <w:b/>
          <w:lang w:val="en-NZ" w:eastAsia="ko-KR"/>
        </w:rPr>
        <w:t xml:space="preserve">International </w:t>
      </w:r>
      <w:r w:rsidR="003B4FD1" w:rsidRPr="00441526">
        <w:rPr>
          <w:b/>
          <w:lang w:val="en-NZ" w:eastAsia="ko-KR"/>
        </w:rPr>
        <w:t>Organisations</w:t>
      </w:r>
    </w:p>
    <w:p w14:paraId="130A49CC" w14:textId="77777777" w:rsidR="00F52D42" w:rsidRDefault="00EF3891" w:rsidP="00F52D42">
      <w:pPr>
        <w:tabs>
          <w:tab w:val="left" w:pos="720"/>
          <w:tab w:val="left" w:pos="1440"/>
          <w:tab w:val="left" w:pos="2160"/>
          <w:tab w:val="left" w:pos="2880"/>
          <w:tab w:val="left" w:pos="3600"/>
          <w:tab w:val="left" w:pos="4320"/>
          <w:tab w:val="left" w:pos="5186"/>
        </w:tabs>
        <w:spacing w:after="120"/>
        <w:jc w:val="both"/>
        <w:rPr>
          <w:b/>
          <w:lang w:val="en-NZ" w:eastAsia="ko-KR"/>
        </w:rPr>
      </w:pPr>
      <w:r>
        <w:rPr>
          <w:b/>
          <w:lang w:val="en-NZ" w:eastAsia="ko-KR"/>
        </w:rPr>
        <w:t>7</w:t>
      </w:r>
      <w:r w:rsidR="00F52D42">
        <w:rPr>
          <w:b/>
          <w:lang w:val="en-NZ" w:eastAsia="ko-KR"/>
        </w:rPr>
        <w:t xml:space="preserve">.2.1 </w:t>
      </w:r>
      <w:r w:rsidR="00F52D42">
        <w:rPr>
          <w:b/>
          <w:lang w:val="en-NZ" w:eastAsia="ko-KR"/>
        </w:rPr>
        <w:tab/>
        <w:t xml:space="preserve">IARU </w:t>
      </w:r>
      <w:r w:rsidR="00F52D42">
        <w:t xml:space="preserve">- </w:t>
      </w:r>
      <w:r w:rsidR="00F52D42">
        <w:rPr>
          <w:b/>
          <w:lang w:val="en-NZ" w:eastAsia="ko-KR"/>
        </w:rPr>
        <w:t>Document APG19-3/INF-09</w:t>
      </w:r>
      <w:r w:rsidR="00F52D42">
        <w:rPr>
          <w:b/>
          <w:lang w:val="en-NZ" w:eastAsia="ko-KR"/>
        </w:rPr>
        <w:tab/>
      </w:r>
    </w:p>
    <w:p w14:paraId="0CBDE244" w14:textId="77777777" w:rsidR="00F52D42" w:rsidRPr="0012390B" w:rsidRDefault="00F52D42" w:rsidP="0012390B">
      <w:pPr>
        <w:numPr>
          <w:ilvl w:val="0"/>
          <w:numId w:val="18"/>
        </w:numPr>
        <w:ind w:leftChars="145" w:left="708"/>
        <w:rPr>
          <w:lang w:val="en-NZ"/>
        </w:rPr>
      </w:pPr>
      <w:r w:rsidRPr="0012390B">
        <w:rPr>
          <w:lang w:val="en-NZ"/>
        </w:rPr>
        <w:t>There is growing interest among radio amateurs in experimentation, investigation of propagation phenomena, point-to-point communication and space communication in this band.</w:t>
      </w:r>
    </w:p>
    <w:p w14:paraId="6B9E10CC" w14:textId="77777777" w:rsidR="00F52D42" w:rsidRPr="0038070C" w:rsidRDefault="00F52D42" w:rsidP="0012390B">
      <w:pPr>
        <w:numPr>
          <w:ilvl w:val="0"/>
          <w:numId w:val="18"/>
        </w:numPr>
        <w:ind w:leftChars="145" w:left="708"/>
        <w:rPr>
          <w:lang w:val="en-NZ"/>
        </w:rPr>
      </w:pPr>
      <w:r w:rsidRPr="0038070C">
        <w:rPr>
          <w:lang w:val="en-NZ"/>
        </w:rPr>
        <w:t>The IARU is of the view that existing and future amateur use in this band should be protected with special attention to the bands 5 760 to 5 765 MHz and 5 830 to 5 850 MHz.</w:t>
      </w:r>
    </w:p>
    <w:p w14:paraId="29F74C3F" w14:textId="77777777" w:rsidR="003B4FD1" w:rsidRPr="00441526" w:rsidRDefault="003B4FD1" w:rsidP="003B4FD1">
      <w:pPr>
        <w:rPr>
          <w:lang w:val="en-NZ"/>
        </w:rPr>
      </w:pPr>
    </w:p>
    <w:p w14:paraId="0F34DEF0" w14:textId="77777777" w:rsidR="009F547A" w:rsidRPr="00441526" w:rsidRDefault="00EF3891" w:rsidP="009F547A">
      <w:pPr>
        <w:spacing w:after="120"/>
        <w:jc w:val="both"/>
        <w:rPr>
          <w:b/>
          <w:lang w:val="en-NZ" w:eastAsia="ko-KR"/>
        </w:rPr>
      </w:pPr>
      <w:r>
        <w:rPr>
          <w:b/>
          <w:lang w:val="en-NZ" w:eastAsia="ko-KR"/>
        </w:rPr>
        <w:t>7</w:t>
      </w:r>
      <w:r w:rsidR="009F547A" w:rsidRPr="00441526">
        <w:rPr>
          <w:b/>
          <w:lang w:val="en-NZ" w:eastAsia="ko-KR"/>
        </w:rPr>
        <w:t xml:space="preserve">.2.2 </w:t>
      </w:r>
      <w:r w:rsidR="009F547A" w:rsidRPr="00441526">
        <w:rPr>
          <w:b/>
          <w:lang w:val="en-NZ" w:eastAsia="ko-KR"/>
        </w:rPr>
        <w:tab/>
        <w:t>ICAO</w:t>
      </w:r>
      <w:r w:rsidR="009D46CE" w:rsidRPr="00441526">
        <w:rPr>
          <w:b/>
          <w:lang w:val="en-NZ" w:eastAsia="ko-KR"/>
        </w:rPr>
        <w:t xml:space="preserve"> </w:t>
      </w:r>
      <w:r w:rsidR="009D46CE" w:rsidRPr="00441526">
        <w:t xml:space="preserve">- </w:t>
      </w:r>
      <w:r w:rsidR="009D46CE" w:rsidRPr="00441526">
        <w:rPr>
          <w:b/>
          <w:lang w:val="en-NZ" w:eastAsia="ko-KR"/>
        </w:rPr>
        <w:t>Document APG19-</w:t>
      </w:r>
      <w:r w:rsidR="00895096" w:rsidRPr="00073BF0">
        <w:rPr>
          <w:b/>
          <w:lang w:val="en-NZ" w:eastAsia="ko-KR"/>
        </w:rPr>
        <w:t>2</w:t>
      </w:r>
      <w:r w:rsidR="009D46CE" w:rsidRPr="00441526">
        <w:rPr>
          <w:b/>
          <w:lang w:val="en-NZ" w:eastAsia="ko-KR"/>
        </w:rPr>
        <w:t>/INF-</w:t>
      </w:r>
      <w:r w:rsidR="00895096">
        <w:rPr>
          <w:b/>
          <w:lang w:val="en-NZ" w:eastAsia="ko-KR"/>
        </w:rPr>
        <w:t>2</w:t>
      </w:r>
    </w:p>
    <w:p w14:paraId="7A594CB0" w14:textId="77777777" w:rsidR="009F547A" w:rsidRDefault="00895096" w:rsidP="00073BF0">
      <w:pPr>
        <w:numPr>
          <w:ilvl w:val="0"/>
          <w:numId w:val="18"/>
        </w:numPr>
        <w:ind w:leftChars="145" w:left="708"/>
        <w:rPr>
          <w:lang w:val="en-NZ"/>
        </w:rPr>
      </w:pPr>
      <w:r w:rsidRPr="00073BF0">
        <w:rPr>
          <w:lang w:val="en-NZ"/>
        </w:rPr>
        <w:t>To ensure, on the basis of agreed ITU-R studies, that any regulatory actions within existing mobile-service bands do not impact existing aeronautical systems operating in accordance with the Radio Regulations.</w:t>
      </w:r>
    </w:p>
    <w:p w14:paraId="4EE00249" w14:textId="77777777" w:rsidR="00073BF0" w:rsidRPr="00073BF0" w:rsidRDefault="00073BF0" w:rsidP="00073BF0">
      <w:pPr>
        <w:ind w:left="708"/>
        <w:rPr>
          <w:lang w:val="en-NZ"/>
        </w:rPr>
      </w:pPr>
    </w:p>
    <w:p w14:paraId="02C47839" w14:textId="77777777" w:rsidR="00B64A60" w:rsidRPr="00710333" w:rsidRDefault="00B64A60" w:rsidP="00B64A60">
      <w:pPr>
        <w:jc w:val="center"/>
        <w:rPr>
          <w:snapToGrid w:val="0"/>
          <w:lang w:val="en-NZ"/>
        </w:rPr>
      </w:pPr>
      <w:r w:rsidRPr="00441526">
        <w:rPr>
          <w:lang w:val="en-NZ"/>
        </w:rPr>
        <w:t>____________</w:t>
      </w:r>
    </w:p>
    <w:p w14:paraId="4644E40B" w14:textId="77777777" w:rsidR="00930E64" w:rsidRPr="007673CA" w:rsidRDefault="00930E64" w:rsidP="00D13D9D">
      <w:pPr>
        <w:jc w:val="both"/>
        <w:rPr>
          <w:lang w:val="en-NZ"/>
        </w:rPr>
      </w:pPr>
    </w:p>
    <w:sectPr w:rsidR="00930E64" w:rsidRPr="007673CA" w:rsidSect="00DB0A68">
      <w:headerReference w:type="default" r:id="rId16"/>
      <w:footerReference w:type="even" r:id="rId17"/>
      <w:footerReference w:type="default" r:id="rId18"/>
      <w:footerReference w:type="first" r:id="rId19"/>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7E96" w14:textId="77777777" w:rsidR="003B7CE9" w:rsidRDefault="003B7CE9">
      <w:r>
        <w:separator/>
      </w:r>
    </w:p>
  </w:endnote>
  <w:endnote w:type="continuationSeparator" w:id="0">
    <w:p w14:paraId="6E0BF94E" w14:textId="77777777" w:rsidR="003B7CE9" w:rsidRDefault="003B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F3BA" w14:textId="77777777" w:rsidR="00ED362E" w:rsidRDefault="00ED362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DED27" w14:textId="77777777" w:rsidR="00ED362E" w:rsidRDefault="00ED362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7167E" w14:textId="210FDF87" w:rsidR="00ED362E" w:rsidRDefault="00FD4A42" w:rsidP="00FD4A42">
    <w:pPr>
      <w:pStyle w:val="Footer"/>
      <w:ind w:right="360"/>
    </w:pPr>
    <w:r>
      <w:rPr>
        <w:rFonts w:hint="eastAsia"/>
        <w:lang w:eastAsia="ko-KR"/>
      </w:rPr>
      <w:t>A</w:t>
    </w:r>
    <w:r w:rsidR="00035275">
      <w:rPr>
        <w:lang w:eastAsia="ko-KR"/>
      </w:rPr>
      <w:t>PG19-3/OUT-05</w:t>
    </w:r>
    <w:r>
      <w:rPr>
        <w:rStyle w:val="PageNumber"/>
      </w:rPr>
      <w:tab/>
    </w:r>
    <w:r>
      <w:rPr>
        <w:rStyle w:val="PageNumber"/>
      </w:rPr>
      <w:tab/>
    </w:r>
    <w:r w:rsidR="00ED362E" w:rsidRPr="002C7EA9">
      <w:rPr>
        <w:rStyle w:val="PageNumber"/>
      </w:rPr>
      <w:t xml:space="preserve">Page </w:t>
    </w:r>
    <w:r w:rsidR="00ED362E" w:rsidRPr="002C7EA9">
      <w:rPr>
        <w:rStyle w:val="PageNumber"/>
      </w:rPr>
      <w:fldChar w:fldCharType="begin"/>
    </w:r>
    <w:r w:rsidR="00ED362E" w:rsidRPr="002C7EA9">
      <w:rPr>
        <w:rStyle w:val="PageNumber"/>
      </w:rPr>
      <w:instrText xml:space="preserve"> PAGE </w:instrText>
    </w:r>
    <w:r w:rsidR="00ED362E" w:rsidRPr="002C7EA9">
      <w:rPr>
        <w:rStyle w:val="PageNumber"/>
      </w:rPr>
      <w:fldChar w:fldCharType="separate"/>
    </w:r>
    <w:r w:rsidR="00B90D11">
      <w:rPr>
        <w:rStyle w:val="PageNumber"/>
        <w:noProof/>
      </w:rPr>
      <w:t>6</w:t>
    </w:r>
    <w:r w:rsidR="00ED362E" w:rsidRPr="002C7EA9">
      <w:rPr>
        <w:rStyle w:val="PageNumber"/>
      </w:rPr>
      <w:fldChar w:fldCharType="end"/>
    </w:r>
    <w:r w:rsidR="00ED362E" w:rsidRPr="002C7EA9">
      <w:rPr>
        <w:rStyle w:val="PageNumber"/>
      </w:rPr>
      <w:t xml:space="preserve"> of </w:t>
    </w:r>
    <w:r w:rsidR="00ED362E" w:rsidRPr="002C7EA9">
      <w:rPr>
        <w:rStyle w:val="PageNumber"/>
      </w:rPr>
      <w:fldChar w:fldCharType="begin"/>
    </w:r>
    <w:r w:rsidR="00ED362E" w:rsidRPr="002C7EA9">
      <w:rPr>
        <w:rStyle w:val="PageNumber"/>
      </w:rPr>
      <w:instrText xml:space="preserve"> NUMPAGES </w:instrText>
    </w:r>
    <w:r w:rsidR="00ED362E" w:rsidRPr="002C7EA9">
      <w:rPr>
        <w:rStyle w:val="PageNumber"/>
      </w:rPr>
      <w:fldChar w:fldCharType="separate"/>
    </w:r>
    <w:r w:rsidR="00B90D11">
      <w:rPr>
        <w:rStyle w:val="PageNumber"/>
        <w:noProof/>
      </w:rPr>
      <w:t>6</w:t>
    </w:r>
    <w:r w:rsidR="00ED362E"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ED362E" w14:paraId="07A4AC93" w14:textId="77777777">
      <w:trPr>
        <w:cantSplit/>
        <w:trHeight w:val="204"/>
        <w:jc w:val="center"/>
      </w:trPr>
      <w:tc>
        <w:tcPr>
          <w:tcW w:w="1617" w:type="dxa"/>
          <w:tcBorders>
            <w:top w:val="single" w:sz="12" w:space="0" w:color="auto"/>
          </w:tcBorders>
        </w:tcPr>
        <w:p w14:paraId="037B177C" w14:textId="77777777" w:rsidR="00ED362E" w:rsidRDefault="00FD4A42" w:rsidP="00762576">
          <w:pPr>
            <w:rPr>
              <w:b/>
              <w:bCs/>
            </w:rPr>
          </w:pPr>
          <w:r>
            <w:rPr>
              <w:b/>
              <w:bCs/>
            </w:rPr>
            <w:t>Contact:</w:t>
          </w:r>
        </w:p>
      </w:tc>
      <w:tc>
        <w:tcPr>
          <w:tcW w:w="4394" w:type="dxa"/>
          <w:tcBorders>
            <w:top w:val="single" w:sz="12" w:space="0" w:color="auto"/>
          </w:tcBorders>
        </w:tcPr>
        <w:p w14:paraId="7F262215" w14:textId="77777777" w:rsidR="00FD4A42" w:rsidRDefault="00B90D11" w:rsidP="00762576">
          <w:r>
            <w:t>MS. ZHU KEER</w:t>
          </w:r>
        </w:p>
        <w:p w14:paraId="5CFF522C" w14:textId="74F66F7E" w:rsidR="00B90D11" w:rsidRPr="00FD4A42" w:rsidRDefault="00B90D11" w:rsidP="00762576">
          <w:pPr>
            <w:rPr>
              <w:rFonts w:eastAsia="Batang"/>
            </w:rPr>
          </w:pPr>
          <w:r>
            <w:t>Chairman, WP1</w:t>
          </w:r>
        </w:p>
      </w:tc>
      <w:tc>
        <w:tcPr>
          <w:tcW w:w="3912" w:type="dxa"/>
          <w:tcBorders>
            <w:top w:val="single" w:sz="12" w:space="0" w:color="auto"/>
          </w:tcBorders>
        </w:tcPr>
        <w:p w14:paraId="4A0046B0" w14:textId="0169049F" w:rsidR="00ED362E" w:rsidRDefault="00FD4A42" w:rsidP="00B90D11">
          <w:pPr>
            <w:rPr>
              <w:lang w:eastAsia="ja-JP"/>
            </w:rPr>
          </w:pPr>
          <w:r>
            <w:rPr>
              <w:lang w:eastAsia="ja-JP"/>
            </w:rPr>
            <w:t xml:space="preserve">Email: </w:t>
          </w:r>
          <w:hyperlink r:id="rId1" w:history="1">
            <w:r w:rsidR="00B90D11" w:rsidRPr="0042188F">
              <w:rPr>
                <w:rStyle w:val="Hyperlink"/>
                <w:lang w:eastAsia="ja-JP"/>
              </w:rPr>
              <w:t>zhukeer@miit.gov.cn</w:t>
            </w:r>
          </w:hyperlink>
          <w:r w:rsidR="00B90D11">
            <w:rPr>
              <w:lang w:eastAsia="ja-JP"/>
            </w:rPr>
            <w:t xml:space="preserve"> </w:t>
          </w:r>
        </w:p>
      </w:tc>
    </w:tr>
  </w:tbl>
  <w:p w14:paraId="537D46B0" w14:textId="77777777" w:rsidR="00ED362E" w:rsidRDefault="00ED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0D2A" w14:textId="77777777" w:rsidR="003B7CE9" w:rsidRDefault="003B7CE9">
      <w:r>
        <w:separator/>
      </w:r>
    </w:p>
  </w:footnote>
  <w:footnote w:type="continuationSeparator" w:id="0">
    <w:p w14:paraId="12CD9F7A" w14:textId="77777777" w:rsidR="003B7CE9" w:rsidRDefault="003B7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149A" w14:textId="77777777" w:rsidR="00ED362E" w:rsidRDefault="00ED362E" w:rsidP="00C15633">
    <w:pPr>
      <w:pStyle w:val="Header"/>
      <w:tabs>
        <w:tab w:val="center" w:pos="4763"/>
        <w:tab w:val="left" w:pos="5820"/>
      </w:tabs>
      <w:rPr>
        <w:lang w:eastAsia="ko-KR"/>
      </w:rPr>
    </w:pPr>
    <w:r>
      <w:rPr>
        <w:lang w:eastAsia="ko-KR"/>
      </w:rPr>
      <w:tab/>
    </w:r>
  </w:p>
  <w:p w14:paraId="256637EE" w14:textId="77777777" w:rsidR="00ED362E" w:rsidRDefault="00ED362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AB8"/>
    <w:multiLevelType w:val="hybridMultilevel"/>
    <w:tmpl w:val="69CA097E"/>
    <w:lvl w:ilvl="0" w:tplc="A114EBFA">
      <w:start w:val="1"/>
      <w:numFmt w:val="bullet"/>
      <w:lvlText w:val="-"/>
      <w:lvlJc w:val="left"/>
      <w:pPr>
        <w:ind w:left="720" w:hanging="360"/>
      </w:pPr>
      <w:rPr>
        <w:rFonts w:ascii="Malgun Gothic" w:eastAsia="Malgun Gothic" w:hAnsi="Malgun Gothic" w:hint="eastAsia"/>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A903137"/>
    <w:multiLevelType w:val="hybridMultilevel"/>
    <w:tmpl w:val="7C1489C2"/>
    <w:lvl w:ilvl="0" w:tplc="04090001">
      <w:start w:val="1"/>
      <w:numFmt w:val="bullet"/>
      <w:lvlText w:val=""/>
      <w:lvlJc w:val="left"/>
      <w:pPr>
        <w:tabs>
          <w:tab w:val="num" w:pos="720"/>
        </w:tabs>
        <w:ind w:left="720" w:hanging="360"/>
      </w:pPr>
      <w:rPr>
        <w:rFonts w:ascii="Symbol" w:hAnsi="Symbol" w:hint="default"/>
      </w:rPr>
    </w:lvl>
    <w:lvl w:ilvl="1" w:tplc="170810AA" w:tentative="1">
      <w:start w:val="1"/>
      <w:numFmt w:val="bullet"/>
      <w:lvlText w:val=""/>
      <w:lvlJc w:val="left"/>
      <w:pPr>
        <w:tabs>
          <w:tab w:val="num" w:pos="1440"/>
        </w:tabs>
        <w:ind w:left="1440" w:hanging="360"/>
      </w:pPr>
      <w:rPr>
        <w:rFonts w:ascii="Wingdings" w:hAnsi="Wingdings" w:hint="default"/>
      </w:rPr>
    </w:lvl>
    <w:lvl w:ilvl="2" w:tplc="C40ECEF4" w:tentative="1">
      <w:start w:val="1"/>
      <w:numFmt w:val="bullet"/>
      <w:lvlText w:val=""/>
      <w:lvlJc w:val="left"/>
      <w:pPr>
        <w:tabs>
          <w:tab w:val="num" w:pos="2160"/>
        </w:tabs>
        <w:ind w:left="2160" w:hanging="360"/>
      </w:pPr>
      <w:rPr>
        <w:rFonts w:ascii="Wingdings" w:hAnsi="Wingdings" w:hint="default"/>
      </w:rPr>
    </w:lvl>
    <w:lvl w:ilvl="3" w:tplc="F8706164" w:tentative="1">
      <w:start w:val="1"/>
      <w:numFmt w:val="bullet"/>
      <w:lvlText w:val=""/>
      <w:lvlJc w:val="left"/>
      <w:pPr>
        <w:tabs>
          <w:tab w:val="num" w:pos="2880"/>
        </w:tabs>
        <w:ind w:left="2880" w:hanging="360"/>
      </w:pPr>
      <w:rPr>
        <w:rFonts w:ascii="Wingdings" w:hAnsi="Wingdings" w:hint="default"/>
      </w:rPr>
    </w:lvl>
    <w:lvl w:ilvl="4" w:tplc="C9C4E15E" w:tentative="1">
      <w:start w:val="1"/>
      <w:numFmt w:val="bullet"/>
      <w:lvlText w:val=""/>
      <w:lvlJc w:val="left"/>
      <w:pPr>
        <w:tabs>
          <w:tab w:val="num" w:pos="3600"/>
        </w:tabs>
        <w:ind w:left="3600" w:hanging="360"/>
      </w:pPr>
      <w:rPr>
        <w:rFonts w:ascii="Wingdings" w:hAnsi="Wingdings" w:hint="default"/>
      </w:rPr>
    </w:lvl>
    <w:lvl w:ilvl="5" w:tplc="6F4E9C4A" w:tentative="1">
      <w:start w:val="1"/>
      <w:numFmt w:val="bullet"/>
      <w:lvlText w:val=""/>
      <w:lvlJc w:val="left"/>
      <w:pPr>
        <w:tabs>
          <w:tab w:val="num" w:pos="4320"/>
        </w:tabs>
        <w:ind w:left="4320" w:hanging="360"/>
      </w:pPr>
      <w:rPr>
        <w:rFonts w:ascii="Wingdings" w:hAnsi="Wingdings" w:hint="default"/>
      </w:rPr>
    </w:lvl>
    <w:lvl w:ilvl="6" w:tplc="692EA516" w:tentative="1">
      <w:start w:val="1"/>
      <w:numFmt w:val="bullet"/>
      <w:lvlText w:val=""/>
      <w:lvlJc w:val="left"/>
      <w:pPr>
        <w:tabs>
          <w:tab w:val="num" w:pos="5040"/>
        </w:tabs>
        <w:ind w:left="5040" w:hanging="360"/>
      </w:pPr>
      <w:rPr>
        <w:rFonts w:ascii="Wingdings" w:hAnsi="Wingdings" w:hint="default"/>
      </w:rPr>
    </w:lvl>
    <w:lvl w:ilvl="7" w:tplc="CE729318" w:tentative="1">
      <w:start w:val="1"/>
      <w:numFmt w:val="bullet"/>
      <w:lvlText w:val=""/>
      <w:lvlJc w:val="left"/>
      <w:pPr>
        <w:tabs>
          <w:tab w:val="num" w:pos="5760"/>
        </w:tabs>
        <w:ind w:left="5760" w:hanging="360"/>
      </w:pPr>
      <w:rPr>
        <w:rFonts w:ascii="Wingdings" w:hAnsi="Wingdings" w:hint="default"/>
      </w:rPr>
    </w:lvl>
    <w:lvl w:ilvl="8" w:tplc="655A9F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34E178D"/>
    <w:multiLevelType w:val="multilevel"/>
    <w:tmpl w:val="234E178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1F621B"/>
    <w:multiLevelType w:val="hybridMultilevel"/>
    <w:tmpl w:val="07BE40B2"/>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871067D"/>
    <w:multiLevelType w:val="multilevel"/>
    <w:tmpl w:val="387106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3E2C5B12"/>
    <w:multiLevelType w:val="hybridMultilevel"/>
    <w:tmpl w:val="FDD0D854"/>
    <w:lvl w:ilvl="0" w:tplc="A114EBFA">
      <w:start w:val="1"/>
      <w:numFmt w:val="bullet"/>
      <w:lvlText w:val="-"/>
      <w:lvlJc w:val="left"/>
      <w:pPr>
        <w:ind w:left="720" w:hanging="360"/>
      </w:pPr>
      <w:rPr>
        <w:rFonts w:ascii="Malgun Gothic" w:eastAsia="Malgun Gothic" w:hAnsi="Malgun Gothic" w:hint="eastAsia"/>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5B6078"/>
    <w:multiLevelType w:val="hybridMultilevel"/>
    <w:tmpl w:val="71D20046"/>
    <w:lvl w:ilvl="0" w:tplc="A114EBFA">
      <w:start w:val="1"/>
      <w:numFmt w:val="bullet"/>
      <w:lvlText w:val="-"/>
      <w:lvlJc w:val="left"/>
      <w:pPr>
        <w:ind w:left="720" w:hanging="360"/>
      </w:pPr>
      <w:rPr>
        <w:rFonts w:ascii="Malgun Gothic" w:eastAsia="Malgun Gothic" w:hAnsi="Malgun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0004E"/>
    <w:multiLevelType w:val="hybridMultilevel"/>
    <w:tmpl w:val="BDF6091E"/>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964AC5"/>
    <w:multiLevelType w:val="hybridMultilevel"/>
    <w:tmpl w:val="654C76EA"/>
    <w:lvl w:ilvl="0" w:tplc="874E3272">
      <w:start w:val="1"/>
      <w:numFmt w:val="bullet"/>
      <w:lvlText w:val="•"/>
      <w:lvlJc w:val="left"/>
      <w:pPr>
        <w:tabs>
          <w:tab w:val="num" w:pos="720"/>
        </w:tabs>
        <w:ind w:left="720" w:hanging="360"/>
      </w:pPr>
      <w:rPr>
        <w:rFonts w:ascii="Arial" w:hAnsi="Arial" w:cs="Times New Roman" w:hint="default"/>
      </w:rPr>
    </w:lvl>
    <w:lvl w:ilvl="1" w:tplc="918AD278">
      <w:start w:val="691"/>
      <w:numFmt w:val="bullet"/>
      <w:lvlText w:val="–"/>
      <w:lvlJc w:val="left"/>
      <w:pPr>
        <w:tabs>
          <w:tab w:val="num" w:pos="1440"/>
        </w:tabs>
        <w:ind w:left="1440" w:hanging="360"/>
      </w:pPr>
      <w:rPr>
        <w:rFonts w:ascii="Arial" w:hAnsi="Arial" w:cs="Times New Roman" w:hint="default"/>
      </w:rPr>
    </w:lvl>
    <w:lvl w:ilvl="2" w:tplc="C86A2FEE">
      <w:start w:val="1"/>
      <w:numFmt w:val="bullet"/>
      <w:lvlText w:val="•"/>
      <w:lvlJc w:val="left"/>
      <w:pPr>
        <w:tabs>
          <w:tab w:val="num" w:pos="2160"/>
        </w:tabs>
        <w:ind w:left="2160" w:hanging="360"/>
      </w:pPr>
      <w:rPr>
        <w:rFonts w:ascii="Arial" w:hAnsi="Arial" w:cs="Times New Roman" w:hint="default"/>
      </w:rPr>
    </w:lvl>
    <w:lvl w:ilvl="3" w:tplc="206ACD70">
      <w:start w:val="1"/>
      <w:numFmt w:val="bullet"/>
      <w:lvlText w:val="•"/>
      <w:lvlJc w:val="left"/>
      <w:pPr>
        <w:tabs>
          <w:tab w:val="num" w:pos="2880"/>
        </w:tabs>
        <w:ind w:left="2880" w:hanging="360"/>
      </w:pPr>
      <w:rPr>
        <w:rFonts w:ascii="Arial" w:hAnsi="Arial" w:cs="Times New Roman" w:hint="default"/>
      </w:rPr>
    </w:lvl>
    <w:lvl w:ilvl="4" w:tplc="FA98326C">
      <w:start w:val="1"/>
      <w:numFmt w:val="bullet"/>
      <w:lvlText w:val="•"/>
      <w:lvlJc w:val="left"/>
      <w:pPr>
        <w:tabs>
          <w:tab w:val="num" w:pos="3600"/>
        </w:tabs>
        <w:ind w:left="3600" w:hanging="360"/>
      </w:pPr>
      <w:rPr>
        <w:rFonts w:ascii="Arial" w:hAnsi="Arial" w:cs="Times New Roman" w:hint="default"/>
      </w:rPr>
    </w:lvl>
    <w:lvl w:ilvl="5" w:tplc="A5E23D34">
      <w:start w:val="1"/>
      <w:numFmt w:val="bullet"/>
      <w:lvlText w:val="•"/>
      <w:lvlJc w:val="left"/>
      <w:pPr>
        <w:tabs>
          <w:tab w:val="num" w:pos="4320"/>
        </w:tabs>
        <w:ind w:left="4320" w:hanging="360"/>
      </w:pPr>
      <w:rPr>
        <w:rFonts w:ascii="Arial" w:hAnsi="Arial" w:cs="Times New Roman" w:hint="default"/>
      </w:rPr>
    </w:lvl>
    <w:lvl w:ilvl="6" w:tplc="80B8B0B2">
      <w:start w:val="1"/>
      <w:numFmt w:val="bullet"/>
      <w:lvlText w:val="•"/>
      <w:lvlJc w:val="left"/>
      <w:pPr>
        <w:tabs>
          <w:tab w:val="num" w:pos="5040"/>
        </w:tabs>
        <w:ind w:left="5040" w:hanging="360"/>
      </w:pPr>
      <w:rPr>
        <w:rFonts w:ascii="Arial" w:hAnsi="Arial" w:cs="Times New Roman" w:hint="default"/>
      </w:rPr>
    </w:lvl>
    <w:lvl w:ilvl="7" w:tplc="0CAEC926">
      <w:start w:val="1"/>
      <w:numFmt w:val="bullet"/>
      <w:lvlText w:val="•"/>
      <w:lvlJc w:val="left"/>
      <w:pPr>
        <w:tabs>
          <w:tab w:val="num" w:pos="5760"/>
        </w:tabs>
        <w:ind w:left="5760" w:hanging="360"/>
      </w:pPr>
      <w:rPr>
        <w:rFonts w:ascii="Arial" w:hAnsi="Arial" w:cs="Times New Roman" w:hint="default"/>
      </w:rPr>
    </w:lvl>
    <w:lvl w:ilvl="8" w:tplc="603C60D6">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0518C"/>
    <w:multiLevelType w:val="hybridMultilevel"/>
    <w:tmpl w:val="52DE9F44"/>
    <w:lvl w:ilvl="0" w:tplc="A114EBFA">
      <w:start w:val="1"/>
      <w:numFmt w:val="bullet"/>
      <w:lvlText w:val="-"/>
      <w:lvlJc w:val="left"/>
      <w:pPr>
        <w:ind w:left="1434" w:hanging="360"/>
      </w:pPr>
      <w:rPr>
        <w:rFonts w:ascii="Malgun Gothic" w:eastAsia="Malgun Gothic" w:hAnsi="Malgun Gothic" w:hint="eastAsia"/>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5" w15:restartNumberingAfterBreak="0">
    <w:nsid w:val="6DD27250"/>
    <w:multiLevelType w:val="hybridMultilevel"/>
    <w:tmpl w:val="93CCA296"/>
    <w:lvl w:ilvl="0" w:tplc="81F65682">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B204C62"/>
    <w:multiLevelType w:val="hybridMultilevel"/>
    <w:tmpl w:val="FE9A1B3E"/>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8"/>
  </w:num>
  <w:num w:numId="3">
    <w:abstractNumId w:val="6"/>
  </w:num>
  <w:num w:numId="4">
    <w:abstractNumId w:val="26"/>
  </w:num>
  <w:num w:numId="5">
    <w:abstractNumId w:val="12"/>
  </w:num>
  <w:num w:numId="6">
    <w:abstractNumId w:val="14"/>
  </w:num>
  <w:num w:numId="7">
    <w:abstractNumId w:val="4"/>
  </w:num>
  <w:num w:numId="8">
    <w:abstractNumId w:val="2"/>
  </w:num>
  <w:num w:numId="9">
    <w:abstractNumId w:val="29"/>
  </w:num>
  <w:num w:numId="10">
    <w:abstractNumId w:val="23"/>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2"/>
  </w:num>
  <w:num w:numId="18">
    <w:abstractNumId w:val="16"/>
  </w:num>
  <w:num w:numId="19">
    <w:abstractNumId w:val="28"/>
  </w:num>
  <w:num w:numId="20">
    <w:abstractNumId w:val="10"/>
  </w:num>
  <w:num w:numId="21">
    <w:abstractNumId w:val="27"/>
  </w:num>
  <w:num w:numId="22">
    <w:abstractNumId w:val="32"/>
  </w:num>
  <w:num w:numId="23">
    <w:abstractNumId w:val="3"/>
  </w:num>
  <w:num w:numId="24">
    <w:abstractNumId w:val="7"/>
  </w:num>
  <w:num w:numId="25">
    <w:abstractNumId w:val="0"/>
  </w:num>
  <w:num w:numId="26">
    <w:abstractNumId w:val="17"/>
  </w:num>
  <w:num w:numId="27">
    <w:abstractNumId w:val="15"/>
  </w:num>
  <w:num w:numId="28">
    <w:abstractNumId w:val="20"/>
  </w:num>
  <w:num w:numId="29">
    <w:abstractNumId w:val="11"/>
  </w:num>
  <w:num w:numId="30">
    <w:abstractNumId w:val="31"/>
  </w:num>
  <w:num w:numId="31">
    <w:abstractNumId w:val="21"/>
  </w:num>
  <w:num w:numId="32">
    <w:abstractNumId w:val="24"/>
  </w:num>
  <w:num w:numId="33">
    <w:abstractNumId w:val="2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3A09"/>
    <w:rsid w:val="00010C8E"/>
    <w:rsid w:val="0001435F"/>
    <w:rsid w:val="00031BF6"/>
    <w:rsid w:val="00035275"/>
    <w:rsid w:val="0003595B"/>
    <w:rsid w:val="00036211"/>
    <w:rsid w:val="00036517"/>
    <w:rsid w:val="00036CC9"/>
    <w:rsid w:val="00040149"/>
    <w:rsid w:val="000538B8"/>
    <w:rsid w:val="00064615"/>
    <w:rsid w:val="00066D1E"/>
    <w:rsid w:val="00070642"/>
    <w:rsid w:val="000713CF"/>
    <w:rsid w:val="00073BF0"/>
    <w:rsid w:val="00075C14"/>
    <w:rsid w:val="000800A7"/>
    <w:rsid w:val="000822B5"/>
    <w:rsid w:val="000843A9"/>
    <w:rsid w:val="00086263"/>
    <w:rsid w:val="00086462"/>
    <w:rsid w:val="0009332E"/>
    <w:rsid w:val="00094B87"/>
    <w:rsid w:val="000959A9"/>
    <w:rsid w:val="000A012B"/>
    <w:rsid w:val="000A5418"/>
    <w:rsid w:val="000A5EE9"/>
    <w:rsid w:val="000B35CE"/>
    <w:rsid w:val="000C6385"/>
    <w:rsid w:val="000C77AB"/>
    <w:rsid w:val="000F0AB3"/>
    <w:rsid w:val="000F345F"/>
    <w:rsid w:val="000F517C"/>
    <w:rsid w:val="000F5540"/>
    <w:rsid w:val="00105F1A"/>
    <w:rsid w:val="00112495"/>
    <w:rsid w:val="0012390B"/>
    <w:rsid w:val="00123AEF"/>
    <w:rsid w:val="00125FBD"/>
    <w:rsid w:val="00127FCB"/>
    <w:rsid w:val="00134D31"/>
    <w:rsid w:val="001409B2"/>
    <w:rsid w:val="00141EA7"/>
    <w:rsid w:val="00147D88"/>
    <w:rsid w:val="00150524"/>
    <w:rsid w:val="00152636"/>
    <w:rsid w:val="001539DD"/>
    <w:rsid w:val="00155571"/>
    <w:rsid w:val="00156782"/>
    <w:rsid w:val="00165F01"/>
    <w:rsid w:val="001731F4"/>
    <w:rsid w:val="00173518"/>
    <w:rsid w:val="00173BF8"/>
    <w:rsid w:val="001916F2"/>
    <w:rsid w:val="001930A7"/>
    <w:rsid w:val="00196568"/>
    <w:rsid w:val="00197C18"/>
    <w:rsid w:val="001A2F16"/>
    <w:rsid w:val="001B1804"/>
    <w:rsid w:val="001B18C2"/>
    <w:rsid w:val="001C443F"/>
    <w:rsid w:val="001C61A5"/>
    <w:rsid w:val="001C6707"/>
    <w:rsid w:val="001C6F13"/>
    <w:rsid w:val="001D5D7E"/>
    <w:rsid w:val="001E11D1"/>
    <w:rsid w:val="001F0186"/>
    <w:rsid w:val="001F5947"/>
    <w:rsid w:val="00200394"/>
    <w:rsid w:val="00200F93"/>
    <w:rsid w:val="00202410"/>
    <w:rsid w:val="00214A0C"/>
    <w:rsid w:val="0021588B"/>
    <w:rsid w:val="002161B6"/>
    <w:rsid w:val="002216AC"/>
    <w:rsid w:val="00223C23"/>
    <w:rsid w:val="002351C6"/>
    <w:rsid w:val="00236126"/>
    <w:rsid w:val="002413D6"/>
    <w:rsid w:val="002414FA"/>
    <w:rsid w:val="00244573"/>
    <w:rsid w:val="00244CEA"/>
    <w:rsid w:val="002475E2"/>
    <w:rsid w:val="002506D2"/>
    <w:rsid w:val="00250DE2"/>
    <w:rsid w:val="00252484"/>
    <w:rsid w:val="00254A1B"/>
    <w:rsid w:val="0026064A"/>
    <w:rsid w:val="00264566"/>
    <w:rsid w:val="002678C9"/>
    <w:rsid w:val="00272CC4"/>
    <w:rsid w:val="0028454D"/>
    <w:rsid w:val="0028516A"/>
    <w:rsid w:val="0029178B"/>
    <w:rsid w:val="00291C9E"/>
    <w:rsid w:val="002926D4"/>
    <w:rsid w:val="0029734E"/>
    <w:rsid w:val="002A3CF5"/>
    <w:rsid w:val="002A5904"/>
    <w:rsid w:val="002B06A3"/>
    <w:rsid w:val="002B435C"/>
    <w:rsid w:val="002B447F"/>
    <w:rsid w:val="002B4B21"/>
    <w:rsid w:val="002B74A1"/>
    <w:rsid w:val="002C07DA"/>
    <w:rsid w:val="002C1878"/>
    <w:rsid w:val="002C2A49"/>
    <w:rsid w:val="002C4059"/>
    <w:rsid w:val="002C7EA9"/>
    <w:rsid w:val="002D2302"/>
    <w:rsid w:val="002F00C4"/>
    <w:rsid w:val="002F3105"/>
    <w:rsid w:val="002F575D"/>
    <w:rsid w:val="00310325"/>
    <w:rsid w:val="003113D7"/>
    <w:rsid w:val="00311E8A"/>
    <w:rsid w:val="003163C5"/>
    <w:rsid w:val="003227C3"/>
    <w:rsid w:val="00334440"/>
    <w:rsid w:val="00342F20"/>
    <w:rsid w:val="0034458A"/>
    <w:rsid w:val="00350946"/>
    <w:rsid w:val="00360377"/>
    <w:rsid w:val="00364B55"/>
    <w:rsid w:val="00366548"/>
    <w:rsid w:val="0038005B"/>
    <w:rsid w:val="0038070C"/>
    <w:rsid w:val="003809C7"/>
    <w:rsid w:val="0038236C"/>
    <w:rsid w:val="00387209"/>
    <w:rsid w:val="00393252"/>
    <w:rsid w:val="00393DCD"/>
    <w:rsid w:val="00395B40"/>
    <w:rsid w:val="003A0882"/>
    <w:rsid w:val="003A2006"/>
    <w:rsid w:val="003A6568"/>
    <w:rsid w:val="003B4F3C"/>
    <w:rsid w:val="003B4FD1"/>
    <w:rsid w:val="003B6263"/>
    <w:rsid w:val="003B7CE9"/>
    <w:rsid w:val="003C29E6"/>
    <w:rsid w:val="003C2A40"/>
    <w:rsid w:val="003C64A7"/>
    <w:rsid w:val="003D1128"/>
    <w:rsid w:val="003D1671"/>
    <w:rsid w:val="003D3FDA"/>
    <w:rsid w:val="003D6D00"/>
    <w:rsid w:val="003E166F"/>
    <w:rsid w:val="003E3973"/>
    <w:rsid w:val="003F307E"/>
    <w:rsid w:val="004001E5"/>
    <w:rsid w:val="00402B1B"/>
    <w:rsid w:val="0041313C"/>
    <w:rsid w:val="00420822"/>
    <w:rsid w:val="00420C74"/>
    <w:rsid w:val="00423349"/>
    <w:rsid w:val="00430D43"/>
    <w:rsid w:val="00435A08"/>
    <w:rsid w:val="0043611A"/>
    <w:rsid w:val="00441526"/>
    <w:rsid w:val="004421CA"/>
    <w:rsid w:val="004465AA"/>
    <w:rsid w:val="00446A5E"/>
    <w:rsid w:val="0045458F"/>
    <w:rsid w:val="004633B4"/>
    <w:rsid w:val="004637B0"/>
    <w:rsid w:val="00466C10"/>
    <w:rsid w:val="00473243"/>
    <w:rsid w:val="004957F2"/>
    <w:rsid w:val="00495CED"/>
    <w:rsid w:val="004A2F96"/>
    <w:rsid w:val="004A67E9"/>
    <w:rsid w:val="004B3553"/>
    <w:rsid w:val="004B3F4B"/>
    <w:rsid w:val="004C440C"/>
    <w:rsid w:val="004C7F86"/>
    <w:rsid w:val="004E1FCA"/>
    <w:rsid w:val="004E47D6"/>
    <w:rsid w:val="00501000"/>
    <w:rsid w:val="00503189"/>
    <w:rsid w:val="005033A5"/>
    <w:rsid w:val="005145A6"/>
    <w:rsid w:val="00515392"/>
    <w:rsid w:val="005200BD"/>
    <w:rsid w:val="00523F79"/>
    <w:rsid w:val="00526D01"/>
    <w:rsid w:val="00530E8C"/>
    <w:rsid w:val="00530F74"/>
    <w:rsid w:val="00535D34"/>
    <w:rsid w:val="00545933"/>
    <w:rsid w:val="00550252"/>
    <w:rsid w:val="00552105"/>
    <w:rsid w:val="005562F2"/>
    <w:rsid w:val="00557544"/>
    <w:rsid w:val="00561914"/>
    <w:rsid w:val="00565BBB"/>
    <w:rsid w:val="005724CA"/>
    <w:rsid w:val="00575729"/>
    <w:rsid w:val="00580357"/>
    <w:rsid w:val="00580CEC"/>
    <w:rsid w:val="00585F3C"/>
    <w:rsid w:val="00586CA0"/>
    <w:rsid w:val="00587875"/>
    <w:rsid w:val="00591C68"/>
    <w:rsid w:val="00596BE8"/>
    <w:rsid w:val="005976BE"/>
    <w:rsid w:val="005977D6"/>
    <w:rsid w:val="005A1426"/>
    <w:rsid w:val="005A63EB"/>
    <w:rsid w:val="005B0876"/>
    <w:rsid w:val="005B2BBE"/>
    <w:rsid w:val="005B5A88"/>
    <w:rsid w:val="005C33B6"/>
    <w:rsid w:val="005C348E"/>
    <w:rsid w:val="005D4539"/>
    <w:rsid w:val="005D6202"/>
    <w:rsid w:val="005D6E98"/>
    <w:rsid w:val="005E1198"/>
    <w:rsid w:val="005E6231"/>
    <w:rsid w:val="005F1281"/>
    <w:rsid w:val="005F2785"/>
    <w:rsid w:val="005F6098"/>
    <w:rsid w:val="00606F84"/>
    <w:rsid w:val="00607E2B"/>
    <w:rsid w:val="006139D6"/>
    <w:rsid w:val="00616D1B"/>
    <w:rsid w:val="00623CE1"/>
    <w:rsid w:val="00627880"/>
    <w:rsid w:val="0063062B"/>
    <w:rsid w:val="00633391"/>
    <w:rsid w:val="00634A82"/>
    <w:rsid w:val="00637351"/>
    <w:rsid w:val="00646166"/>
    <w:rsid w:val="00654896"/>
    <w:rsid w:val="00657B68"/>
    <w:rsid w:val="006621F0"/>
    <w:rsid w:val="006647BA"/>
    <w:rsid w:val="00667229"/>
    <w:rsid w:val="00671921"/>
    <w:rsid w:val="00673055"/>
    <w:rsid w:val="00676257"/>
    <w:rsid w:val="00682BE5"/>
    <w:rsid w:val="00683846"/>
    <w:rsid w:val="006846B5"/>
    <w:rsid w:val="00690FED"/>
    <w:rsid w:val="006939A5"/>
    <w:rsid w:val="006A0F2A"/>
    <w:rsid w:val="006B436F"/>
    <w:rsid w:val="006C3342"/>
    <w:rsid w:val="006C3B9B"/>
    <w:rsid w:val="006D4936"/>
    <w:rsid w:val="006D5223"/>
    <w:rsid w:val="006E12FC"/>
    <w:rsid w:val="006E1D37"/>
    <w:rsid w:val="006F0F24"/>
    <w:rsid w:val="006F2B2E"/>
    <w:rsid w:val="006F6A5C"/>
    <w:rsid w:val="00703F6F"/>
    <w:rsid w:val="007052B3"/>
    <w:rsid w:val="00705962"/>
    <w:rsid w:val="00707C21"/>
    <w:rsid w:val="00712451"/>
    <w:rsid w:val="00712944"/>
    <w:rsid w:val="0071367C"/>
    <w:rsid w:val="00717DE9"/>
    <w:rsid w:val="00723FEF"/>
    <w:rsid w:val="00724866"/>
    <w:rsid w:val="0072518B"/>
    <w:rsid w:val="00727855"/>
    <w:rsid w:val="00731041"/>
    <w:rsid w:val="007329E4"/>
    <w:rsid w:val="00732F08"/>
    <w:rsid w:val="007342F0"/>
    <w:rsid w:val="0074190C"/>
    <w:rsid w:val="00742A02"/>
    <w:rsid w:val="007434B9"/>
    <w:rsid w:val="00746FD3"/>
    <w:rsid w:val="00751AFE"/>
    <w:rsid w:val="0075493D"/>
    <w:rsid w:val="0076136A"/>
    <w:rsid w:val="00761B87"/>
    <w:rsid w:val="00762576"/>
    <w:rsid w:val="007673CA"/>
    <w:rsid w:val="0077166A"/>
    <w:rsid w:val="007829D9"/>
    <w:rsid w:val="00791060"/>
    <w:rsid w:val="007926EA"/>
    <w:rsid w:val="007B0928"/>
    <w:rsid w:val="007B5626"/>
    <w:rsid w:val="007B6124"/>
    <w:rsid w:val="007C568D"/>
    <w:rsid w:val="007D1F02"/>
    <w:rsid w:val="007D3C53"/>
    <w:rsid w:val="007E181F"/>
    <w:rsid w:val="007E3A0F"/>
    <w:rsid w:val="007E5336"/>
    <w:rsid w:val="007F2628"/>
    <w:rsid w:val="007F2FBA"/>
    <w:rsid w:val="00800C3A"/>
    <w:rsid w:val="0080570B"/>
    <w:rsid w:val="008148E1"/>
    <w:rsid w:val="00815261"/>
    <w:rsid w:val="008169BB"/>
    <w:rsid w:val="0081788F"/>
    <w:rsid w:val="00820421"/>
    <w:rsid w:val="008319BF"/>
    <w:rsid w:val="008409F1"/>
    <w:rsid w:val="008415F0"/>
    <w:rsid w:val="00841CEA"/>
    <w:rsid w:val="008433C2"/>
    <w:rsid w:val="00844457"/>
    <w:rsid w:val="008454C8"/>
    <w:rsid w:val="00851D78"/>
    <w:rsid w:val="0086104F"/>
    <w:rsid w:val="00871976"/>
    <w:rsid w:val="00892424"/>
    <w:rsid w:val="00895096"/>
    <w:rsid w:val="00895DD4"/>
    <w:rsid w:val="00895F24"/>
    <w:rsid w:val="008A016F"/>
    <w:rsid w:val="008A1A0D"/>
    <w:rsid w:val="008A72E1"/>
    <w:rsid w:val="008A76ED"/>
    <w:rsid w:val="008B3C72"/>
    <w:rsid w:val="008D0E09"/>
    <w:rsid w:val="008D2C73"/>
    <w:rsid w:val="008E41FF"/>
    <w:rsid w:val="008F0026"/>
    <w:rsid w:val="008F6B7F"/>
    <w:rsid w:val="00903007"/>
    <w:rsid w:val="00906C89"/>
    <w:rsid w:val="00912BAC"/>
    <w:rsid w:val="00913BE3"/>
    <w:rsid w:val="00923816"/>
    <w:rsid w:val="00930653"/>
    <w:rsid w:val="0093074B"/>
    <w:rsid w:val="00930E64"/>
    <w:rsid w:val="009317FD"/>
    <w:rsid w:val="00931CDE"/>
    <w:rsid w:val="009348CA"/>
    <w:rsid w:val="00943CF9"/>
    <w:rsid w:val="00956F8C"/>
    <w:rsid w:val="00960693"/>
    <w:rsid w:val="00961D57"/>
    <w:rsid w:val="00971192"/>
    <w:rsid w:val="00974699"/>
    <w:rsid w:val="00976716"/>
    <w:rsid w:val="0097693B"/>
    <w:rsid w:val="00984AB6"/>
    <w:rsid w:val="00993355"/>
    <w:rsid w:val="0099532B"/>
    <w:rsid w:val="009963F7"/>
    <w:rsid w:val="009A11CB"/>
    <w:rsid w:val="009A4A6D"/>
    <w:rsid w:val="009A7022"/>
    <w:rsid w:val="009B31F6"/>
    <w:rsid w:val="009B4316"/>
    <w:rsid w:val="009B44DD"/>
    <w:rsid w:val="009B4D8C"/>
    <w:rsid w:val="009B7E42"/>
    <w:rsid w:val="009C3ED1"/>
    <w:rsid w:val="009D207C"/>
    <w:rsid w:val="009D46CE"/>
    <w:rsid w:val="009D4ADA"/>
    <w:rsid w:val="009E13DD"/>
    <w:rsid w:val="009F1D70"/>
    <w:rsid w:val="009F547A"/>
    <w:rsid w:val="00A0503B"/>
    <w:rsid w:val="00A059CD"/>
    <w:rsid w:val="00A13265"/>
    <w:rsid w:val="00A14900"/>
    <w:rsid w:val="00A2159F"/>
    <w:rsid w:val="00A2429B"/>
    <w:rsid w:val="00A47B37"/>
    <w:rsid w:val="00A529BC"/>
    <w:rsid w:val="00A5346C"/>
    <w:rsid w:val="00A53F51"/>
    <w:rsid w:val="00A562F0"/>
    <w:rsid w:val="00A564FB"/>
    <w:rsid w:val="00A614C1"/>
    <w:rsid w:val="00A61EA6"/>
    <w:rsid w:val="00A657BF"/>
    <w:rsid w:val="00A66030"/>
    <w:rsid w:val="00A71136"/>
    <w:rsid w:val="00A75D4D"/>
    <w:rsid w:val="00A7699D"/>
    <w:rsid w:val="00A81175"/>
    <w:rsid w:val="00A8263E"/>
    <w:rsid w:val="00A8546D"/>
    <w:rsid w:val="00A92578"/>
    <w:rsid w:val="00A9273C"/>
    <w:rsid w:val="00AA025E"/>
    <w:rsid w:val="00AA474C"/>
    <w:rsid w:val="00AA4952"/>
    <w:rsid w:val="00AA6474"/>
    <w:rsid w:val="00AB0A19"/>
    <w:rsid w:val="00AB5743"/>
    <w:rsid w:val="00AC1CFF"/>
    <w:rsid w:val="00AC35EF"/>
    <w:rsid w:val="00AC4D5B"/>
    <w:rsid w:val="00AD1DDB"/>
    <w:rsid w:val="00AD2697"/>
    <w:rsid w:val="00AD7E5F"/>
    <w:rsid w:val="00AE3066"/>
    <w:rsid w:val="00AF68E4"/>
    <w:rsid w:val="00B00A87"/>
    <w:rsid w:val="00B01AA1"/>
    <w:rsid w:val="00B04DC9"/>
    <w:rsid w:val="00B06025"/>
    <w:rsid w:val="00B219BF"/>
    <w:rsid w:val="00B250E7"/>
    <w:rsid w:val="00B30C81"/>
    <w:rsid w:val="00B30DA1"/>
    <w:rsid w:val="00B36A5A"/>
    <w:rsid w:val="00B43A6A"/>
    <w:rsid w:val="00B4793B"/>
    <w:rsid w:val="00B53A7E"/>
    <w:rsid w:val="00B56099"/>
    <w:rsid w:val="00B64A60"/>
    <w:rsid w:val="00B72A0E"/>
    <w:rsid w:val="00B8274B"/>
    <w:rsid w:val="00B90D11"/>
    <w:rsid w:val="00B937D7"/>
    <w:rsid w:val="00B96B67"/>
    <w:rsid w:val="00BB69F9"/>
    <w:rsid w:val="00BC34D8"/>
    <w:rsid w:val="00BC57EF"/>
    <w:rsid w:val="00BC671A"/>
    <w:rsid w:val="00BC69DB"/>
    <w:rsid w:val="00BD4424"/>
    <w:rsid w:val="00BD4593"/>
    <w:rsid w:val="00BD5CF5"/>
    <w:rsid w:val="00BE2997"/>
    <w:rsid w:val="00BE3A67"/>
    <w:rsid w:val="00BE6B6B"/>
    <w:rsid w:val="00BF25F9"/>
    <w:rsid w:val="00C019AE"/>
    <w:rsid w:val="00C05F81"/>
    <w:rsid w:val="00C10790"/>
    <w:rsid w:val="00C13FD5"/>
    <w:rsid w:val="00C15633"/>
    <w:rsid w:val="00C15799"/>
    <w:rsid w:val="00C27F44"/>
    <w:rsid w:val="00C32DB7"/>
    <w:rsid w:val="00C32E84"/>
    <w:rsid w:val="00C35415"/>
    <w:rsid w:val="00C357AD"/>
    <w:rsid w:val="00C51B19"/>
    <w:rsid w:val="00C51C5F"/>
    <w:rsid w:val="00C554CC"/>
    <w:rsid w:val="00C6069C"/>
    <w:rsid w:val="00C658B0"/>
    <w:rsid w:val="00C66C65"/>
    <w:rsid w:val="00C70477"/>
    <w:rsid w:val="00C742A1"/>
    <w:rsid w:val="00C74745"/>
    <w:rsid w:val="00C7571F"/>
    <w:rsid w:val="00C85119"/>
    <w:rsid w:val="00C95C48"/>
    <w:rsid w:val="00C9738B"/>
    <w:rsid w:val="00CA4C3B"/>
    <w:rsid w:val="00CA5302"/>
    <w:rsid w:val="00CC1F86"/>
    <w:rsid w:val="00CC3188"/>
    <w:rsid w:val="00CC4E9A"/>
    <w:rsid w:val="00CC79CB"/>
    <w:rsid w:val="00CD170C"/>
    <w:rsid w:val="00CD22FA"/>
    <w:rsid w:val="00CD320B"/>
    <w:rsid w:val="00CD3F37"/>
    <w:rsid w:val="00CD5431"/>
    <w:rsid w:val="00CD692F"/>
    <w:rsid w:val="00CE4B93"/>
    <w:rsid w:val="00CE6555"/>
    <w:rsid w:val="00CF2491"/>
    <w:rsid w:val="00CF3963"/>
    <w:rsid w:val="00CF3F1D"/>
    <w:rsid w:val="00CF767C"/>
    <w:rsid w:val="00D04C05"/>
    <w:rsid w:val="00D1252E"/>
    <w:rsid w:val="00D13D9D"/>
    <w:rsid w:val="00D140D3"/>
    <w:rsid w:val="00D31A84"/>
    <w:rsid w:val="00D40703"/>
    <w:rsid w:val="00D416A3"/>
    <w:rsid w:val="00D4275E"/>
    <w:rsid w:val="00D459A2"/>
    <w:rsid w:val="00D52ED7"/>
    <w:rsid w:val="00D530FF"/>
    <w:rsid w:val="00D53688"/>
    <w:rsid w:val="00D5407A"/>
    <w:rsid w:val="00D55195"/>
    <w:rsid w:val="00D57772"/>
    <w:rsid w:val="00D61CE6"/>
    <w:rsid w:val="00D71A91"/>
    <w:rsid w:val="00D72AE3"/>
    <w:rsid w:val="00D75A4D"/>
    <w:rsid w:val="00D76C81"/>
    <w:rsid w:val="00D82093"/>
    <w:rsid w:val="00D837F8"/>
    <w:rsid w:val="00D8478B"/>
    <w:rsid w:val="00D8535C"/>
    <w:rsid w:val="00D86151"/>
    <w:rsid w:val="00D9172D"/>
    <w:rsid w:val="00D96496"/>
    <w:rsid w:val="00D977BD"/>
    <w:rsid w:val="00D97E84"/>
    <w:rsid w:val="00DA018D"/>
    <w:rsid w:val="00DA38C9"/>
    <w:rsid w:val="00DA5641"/>
    <w:rsid w:val="00DA7595"/>
    <w:rsid w:val="00DB0A68"/>
    <w:rsid w:val="00DC01A6"/>
    <w:rsid w:val="00DC43A3"/>
    <w:rsid w:val="00DC4CF3"/>
    <w:rsid w:val="00DC5C01"/>
    <w:rsid w:val="00DC7C00"/>
    <w:rsid w:val="00DD4B02"/>
    <w:rsid w:val="00DD7C09"/>
    <w:rsid w:val="00DF0EB4"/>
    <w:rsid w:val="00DF6D59"/>
    <w:rsid w:val="00E0124F"/>
    <w:rsid w:val="00E02A20"/>
    <w:rsid w:val="00E05B55"/>
    <w:rsid w:val="00E11D2D"/>
    <w:rsid w:val="00E21AD8"/>
    <w:rsid w:val="00E23231"/>
    <w:rsid w:val="00E27FF3"/>
    <w:rsid w:val="00E36026"/>
    <w:rsid w:val="00E3648A"/>
    <w:rsid w:val="00E4492F"/>
    <w:rsid w:val="00E5762A"/>
    <w:rsid w:val="00E65CFE"/>
    <w:rsid w:val="00E674D3"/>
    <w:rsid w:val="00E70FD0"/>
    <w:rsid w:val="00E72AC7"/>
    <w:rsid w:val="00E7309D"/>
    <w:rsid w:val="00E73DC9"/>
    <w:rsid w:val="00E77C4B"/>
    <w:rsid w:val="00E86A9B"/>
    <w:rsid w:val="00E87D36"/>
    <w:rsid w:val="00E9301F"/>
    <w:rsid w:val="00E9690A"/>
    <w:rsid w:val="00E97DC7"/>
    <w:rsid w:val="00EA29D3"/>
    <w:rsid w:val="00EB3C56"/>
    <w:rsid w:val="00EB4B4F"/>
    <w:rsid w:val="00EC7F6D"/>
    <w:rsid w:val="00ED2F1A"/>
    <w:rsid w:val="00ED349E"/>
    <w:rsid w:val="00ED362E"/>
    <w:rsid w:val="00EF3891"/>
    <w:rsid w:val="00F000EF"/>
    <w:rsid w:val="00F070D8"/>
    <w:rsid w:val="00F2504E"/>
    <w:rsid w:val="00F2585B"/>
    <w:rsid w:val="00F35ED9"/>
    <w:rsid w:val="00F4053F"/>
    <w:rsid w:val="00F47F05"/>
    <w:rsid w:val="00F516E7"/>
    <w:rsid w:val="00F52D42"/>
    <w:rsid w:val="00F57BF7"/>
    <w:rsid w:val="00F6263E"/>
    <w:rsid w:val="00F627C2"/>
    <w:rsid w:val="00F72BF0"/>
    <w:rsid w:val="00F72EA6"/>
    <w:rsid w:val="00F76282"/>
    <w:rsid w:val="00F767DB"/>
    <w:rsid w:val="00F80483"/>
    <w:rsid w:val="00F84067"/>
    <w:rsid w:val="00F933E1"/>
    <w:rsid w:val="00FA4A4B"/>
    <w:rsid w:val="00FA50B4"/>
    <w:rsid w:val="00FB2CC6"/>
    <w:rsid w:val="00FB44E5"/>
    <w:rsid w:val="00FB6E83"/>
    <w:rsid w:val="00FC156A"/>
    <w:rsid w:val="00FC1F3D"/>
    <w:rsid w:val="00FD4A42"/>
    <w:rsid w:val="00FD6235"/>
    <w:rsid w:val="00FD6B6C"/>
    <w:rsid w:val="00FE11B7"/>
    <w:rsid w:val="00FE13D1"/>
    <w:rsid w:val="00FE3279"/>
    <w:rsid w:val="00FE3DE5"/>
    <w:rsid w:val="00FE58A5"/>
    <w:rsid w:val="00FF684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42640"/>
  <w15:docId w15:val="{513D38F9-091C-4A87-990E-ECCE7F7E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1">
    <w:name w:val="列出段落1"/>
    <w:basedOn w:val="Normal"/>
    <w:uiPriority w:val="34"/>
    <w:qFormat/>
    <w:rsid w:val="00402B1B"/>
    <w:pPr>
      <w:ind w:left="720"/>
    </w:pPr>
    <w:rPr>
      <w:rFonts w:cs="Angsana New"/>
    </w:rPr>
  </w:style>
  <w:style w:type="character" w:customStyle="1" w:styleId="ListParagraphChar">
    <w:name w:val="List Paragraph Char"/>
    <w:link w:val="ListParagraph"/>
    <w:uiPriority w:val="34"/>
    <w:locked/>
    <w:rsid w:val="008D2C73"/>
    <w:rPr>
      <w:rFonts w:eastAsia="BatangChe"/>
      <w:sz w:val="24"/>
      <w:szCs w:val="24"/>
    </w:rPr>
  </w:style>
  <w:style w:type="character" w:customStyle="1" w:styleId="enumlev1Char">
    <w:name w:val="enumlev1 Char"/>
    <w:basedOn w:val="DefaultParagraphFont"/>
    <w:link w:val="enumlev1"/>
    <w:locked/>
    <w:rsid w:val="008D2C73"/>
    <w:rPr>
      <w:rFonts w:eastAsia="MS Mincho"/>
      <w:sz w:val="24"/>
      <w:lang w:val="en-GB"/>
    </w:rPr>
  </w:style>
  <w:style w:type="paragraph" w:customStyle="1" w:styleId="enumlev1">
    <w:name w:val="enumlev1"/>
    <w:basedOn w:val="Normal"/>
    <w:link w:val="enumlev1Char"/>
    <w:qFormat/>
    <w:rsid w:val="008D2C73"/>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character" w:styleId="FollowedHyperlink">
    <w:name w:val="FollowedHyperlink"/>
    <w:basedOn w:val="DefaultParagraphFont"/>
    <w:semiHidden/>
    <w:unhideWhenUsed/>
    <w:rsid w:val="00FF68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4231">
      <w:bodyDiv w:val="1"/>
      <w:marLeft w:val="0"/>
      <w:marRight w:val="0"/>
      <w:marTop w:val="0"/>
      <w:marBottom w:val="0"/>
      <w:divBdr>
        <w:top w:val="none" w:sz="0" w:space="0" w:color="auto"/>
        <w:left w:val="none" w:sz="0" w:space="0" w:color="auto"/>
        <w:bottom w:val="none" w:sz="0" w:space="0" w:color="auto"/>
        <w:right w:val="none" w:sz="0" w:space="0" w:color="auto"/>
      </w:divBdr>
    </w:div>
    <w:div w:id="297490233">
      <w:bodyDiv w:val="1"/>
      <w:marLeft w:val="0"/>
      <w:marRight w:val="0"/>
      <w:marTop w:val="0"/>
      <w:marBottom w:val="0"/>
      <w:divBdr>
        <w:top w:val="none" w:sz="0" w:space="0" w:color="auto"/>
        <w:left w:val="none" w:sz="0" w:space="0" w:color="auto"/>
        <w:bottom w:val="none" w:sz="0" w:space="0" w:color="auto"/>
        <w:right w:val="none" w:sz="0" w:space="0" w:color="auto"/>
      </w:divBdr>
    </w:div>
    <w:div w:id="386222275">
      <w:bodyDiv w:val="1"/>
      <w:marLeft w:val="0"/>
      <w:marRight w:val="0"/>
      <w:marTop w:val="0"/>
      <w:marBottom w:val="0"/>
      <w:divBdr>
        <w:top w:val="none" w:sz="0" w:space="0" w:color="auto"/>
        <w:left w:val="none" w:sz="0" w:space="0" w:color="auto"/>
        <w:bottom w:val="none" w:sz="0" w:space="0" w:color="auto"/>
        <w:right w:val="none" w:sz="0" w:space="0" w:color="auto"/>
      </w:divBdr>
    </w:div>
    <w:div w:id="636683370">
      <w:bodyDiv w:val="1"/>
      <w:marLeft w:val="0"/>
      <w:marRight w:val="0"/>
      <w:marTop w:val="0"/>
      <w:marBottom w:val="0"/>
      <w:divBdr>
        <w:top w:val="none" w:sz="0" w:space="0" w:color="auto"/>
        <w:left w:val="none" w:sz="0" w:space="0" w:color="auto"/>
        <w:bottom w:val="none" w:sz="0" w:space="0" w:color="auto"/>
        <w:right w:val="none" w:sz="0" w:space="0" w:color="auto"/>
      </w:divBdr>
    </w:div>
    <w:div w:id="1029528949">
      <w:bodyDiv w:val="1"/>
      <w:marLeft w:val="0"/>
      <w:marRight w:val="0"/>
      <w:marTop w:val="0"/>
      <w:marBottom w:val="0"/>
      <w:divBdr>
        <w:top w:val="none" w:sz="0" w:space="0" w:color="auto"/>
        <w:left w:val="none" w:sz="0" w:space="0" w:color="auto"/>
        <w:bottom w:val="none" w:sz="0" w:space="0" w:color="auto"/>
        <w:right w:val="none" w:sz="0" w:space="0" w:color="auto"/>
      </w:divBdr>
    </w:div>
    <w:div w:id="109471401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72904312">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5/wp5d/c/R15-WP5D-C-0875!H03!MSW-E.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t.int/sites/default/files/2017/10/AWG-22-TMP-47_ITS_Usage_in_APT_Countrie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15/wp5a/c/R15-WP5A-C-0650!N31!MSW-E.docx" TargetMode="External"/><Relationship Id="rId5" Type="http://schemas.openxmlformats.org/officeDocument/2006/relationships/webSettings" Target="webSettings.xml"/><Relationship Id="rId15" Type="http://schemas.openxmlformats.org/officeDocument/2006/relationships/hyperlink" Target="https://www.apt.int/sites/default/files/2017/10/AWG-22-TMP-47_ITS_Usage_in_APT_Countries.docx" TargetMode="External"/><Relationship Id="rId10" Type="http://schemas.openxmlformats.org/officeDocument/2006/relationships/hyperlink" Target="https://www.itu.int/dms_pub/itu-r/md/15/wp5a/c/R15-WP5A-C-0650!N29!MSW-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dms_pub/itu-r/md/15/wp5a/c/R15-WP5A-C-0650!N30!MSW-E.docx" TargetMode="External"/><Relationship Id="rId14" Type="http://schemas.openxmlformats.org/officeDocument/2006/relationships/hyperlink" Target="https://www.itu.int/dms_pub/itu-r/md/15/wp5a/c/R15-WP5A-C-0650!N08!MSW-E.doc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zhukeer@miit.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D14C-7697-4884-A0D8-DAD9D8EE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2394</Words>
  <Characters>13647</Characters>
  <Application>Microsoft Office Word</Application>
  <DocSecurity>0</DocSecurity>
  <Lines>113</Lines>
  <Paragraphs>32</Paragraphs>
  <ScaleCrop>false</ScaleCrop>
  <HeadingPairs>
    <vt:vector size="6" baseType="variant">
      <vt:variant>
        <vt:lpstr>Title</vt:lpstr>
      </vt:variant>
      <vt:variant>
        <vt:i4>1</vt:i4>
      </vt:variant>
      <vt:variant>
        <vt:lpstr>ชื่อเรื่อง</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7</cp:revision>
  <cp:lastPrinted>2015-02-02T06:28:00Z</cp:lastPrinted>
  <dcterms:created xsi:type="dcterms:W3CDTF">2018-03-15T08:26:00Z</dcterms:created>
  <dcterms:modified xsi:type="dcterms:W3CDTF">2018-03-20T01:55:00Z</dcterms:modified>
</cp:coreProperties>
</file>