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73E4C0C3" w14:textId="77777777" w:rsidTr="00315781">
        <w:trPr>
          <w:cantSplit/>
        </w:trPr>
        <w:tc>
          <w:tcPr>
            <w:tcW w:w="1399" w:type="dxa"/>
            <w:vMerge w:val="restart"/>
          </w:tcPr>
          <w:p w14:paraId="41AAFC28" w14:textId="77777777" w:rsidR="00CF3963" w:rsidRPr="00441526" w:rsidRDefault="00CF3963" w:rsidP="00315781">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441526" w:rsidRDefault="00CF3963" w:rsidP="00315781">
            <w:r w:rsidRPr="00441526">
              <w:t>ASIA-PACIFIC TELECOMMUNITY</w:t>
            </w:r>
          </w:p>
        </w:tc>
        <w:tc>
          <w:tcPr>
            <w:tcW w:w="2700" w:type="dxa"/>
          </w:tcPr>
          <w:p w14:paraId="0D82F459" w14:textId="6A16F1E2" w:rsidR="00CF3963" w:rsidRPr="00441526" w:rsidRDefault="00CF3963" w:rsidP="00315781">
            <w:pPr>
              <w:rPr>
                <w:b/>
                <w:bCs/>
                <w:lang w:val="fr-FR"/>
              </w:rPr>
            </w:pPr>
            <w:r w:rsidRPr="00441526">
              <w:rPr>
                <w:b/>
                <w:lang w:val="fr-FR"/>
              </w:rPr>
              <w:t>Document</w:t>
            </w:r>
            <w:r w:rsidR="00A324FF">
              <w:rPr>
                <w:b/>
                <w:lang w:val="fr-FR"/>
              </w:rPr>
              <w:t xml:space="preserve"> No</w:t>
            </w:r>
            <w:r w:rsidRPr="00441526">
              <w:rPr>
                <w:b/>
                <w:lang w:val="fr-FR"/>
              </w:rPr>
              <w:t xml:space="preserve">: </w:t>
            </w:r>
          </w:p>
        </w:tc>
      </w:tr>
      <w:tr w:rsidR="00CF3963" w:rsidRPr="00441526" w14:paraId="448FBFF1" w14:textId="77777777" w:rsidTr="00315781">
        <w:trPr>
          <w:cantSplit/>
        </w:trPr>
        <w:tc>
          <w:tcPr>
            <w:tcW w:w="1399" w:type="dxa"/>
            <w:vMerge/>
          </w:tcPr>
          <w:p w14:paraId="29C3EF27" w14:textId="77777777" w:rsidR="00CF3963" w:rsidRPr="00441526" w:rsidRDefault="00CF3963" w:rsidP="00315781"/>
        </w:tc>
        <w:tc>
          <w:tcPr>
            <w:tcW w:w="5720" w:type="dxa"/>
          </w:tcPr>
          <w:p w14:paraId="5CBA7DD0" w14:textId="3FF17151"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9797BCF" w14:textId="2E90AE28" w:rsidR="00CF3963" w:rsidRPr="00441526" w:rsidRDefault="00CF3963" w:rsidP="009A6247">
            <w:pPr>
              <w:rPr>
                <w:b/>
                <w:bCs/>
                <w:lang w:val="fr-FR"/>
              </w:rPr>
            </w:pPr>
            <w:r w:rsidRPr="00441526">
              <w:rPr>
                <w:b/>
                <w:bCs/>
                <w:lang w:val="fr-FR"/>
              </w:rPr>
              <w:t>APG19-</w:t>
            </w:r>
            <w:r w:rsidR="00393DCD" w:rsidRPr="00441526">
              <w:rPr>
                <w:b/>
                <w:bCs/>
                <w:lang w:val="fr-FR"/>
              </w:rPr>
              <w:t>3</w:t>
            </w:r>
            <w:r w:rsidRPr="00441526">
              <w:rPr>
                <w:b/>
                <w:bCs/>
                <w:lang w:val="fr-FR"/>
              </w:rPr>
              <w:t>/</w:t>
            </w:r>
            <w:r w:rsidR="009A6247">
              <w:rPr>
                <w:b/>
                <w:bCs/>
                <w:lang w:val="fr-FR"/>
              </w:rPr>
              <w:t>OUT</w:t>
            </w:r>
            <w:r w:rsidR="00311E8A" w:rsidRPr="00441526">
              <w:rPr>
                <w:b/>
                <w:bCs/>
                <w:lang w:val="fr-FR"/>
              </w:rPr>
              <w:t>-</w:t>
            </w:r>
            <w:r w:rsidR="00935FA9">
              <w:rPr>
                <w:b/>
                <w:bCs/>
                <w:lang w:val="fr-FR"/>
              </w:rPr>
              <w:t>40</w:t>
            </w:r>
          </w:p>
        </w:tc>
      </w:tr>
      <w:tr w:rsidR="00CF3963" w:rsidRPr="00441526" w14:paraId="53A9E6D1" w14:textId="77777777" w:rsidTr="00315781">
        <w:trPr>
          <w:cantSplit/>
          <w:trHeight w:val="219"/>
        </w:trPr>
        <w:tc>
          <w:tcPr>
            <w:tcW w:w="1399" w:type="dxa"/>
            <w:vMerge/>
          </w:tcPr>
          <w:p w14:paraId="59C3513F" w14:textId="77777777" w:rsidR="00CF3963" w:rsidRPr="00441526" w:rsidRDefault="00CF3963" w:rsidP="00315781">
            <w:pPr>
              <w:rPr>
                <w:lang w:val="fr-FR"/>
              </w:rPr>
            </w:pPr>
          </w:p>
        </w:tc>
        <w:tc>
          <w:tcPr>
            <w:tcW w:w="5720" w:type="dxa"/>
          </w:tcPr>
          <w:p w14:paraId="3510CFC7" w14:textId="772C4D3C" w:rsidR="00CF3963" w:rsidRPr="00441526" w:rsidRDefault="00CF3963" w:rsidP="00393DCD">
            <w:r w:rsidRPr="00441526">
              <w:t>1</w:t>
            </w:r>
            <w:r w:rsidR="00393DCD" w:rsidRPr="00441526">
              <w:t>2</w:t>
            </w:r>
            <w:r w:rsidRPr="00441526">
              <w:t xml:space="preserve"> – 1</w:t>
            </w:r>
            <w:r w:rsidR="00A324FF">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60FFE2BA" w14:textId="6CDEBD87" w:rsidR="00CF3963" w:rsidRPr="00441526" w:rsidRDefault="00935FA9" w:rsidP="00393DCD">
            <w:pPr>
              <w:rPr>
                <w:b/>
              </w:rPr>
            </w:pPr>
            <w:r>
              <w:rPr>
                <w:b/>
              </w:rPr>
              <w:t>16</w:t>
            </w:r>
            <w:r w:rsidR="00CF3963" w:rsidRPr="00441526">
              <w:rPr>
                <w:b/>
              </w:rPr>
              <w:t xml:space="preserve"> </w:t>
            </w:r>
            <w:r w:rsidR="00393DCD" w:rsidRPr="00441526">
              <w:rPr>
                <w:b/>
              </w:rPr>
              <w:t>March</w:t>
            </w:r>
            <w:r w:rsidR="00CF3963" w:rsidRPr="00441526">
              <w:rPr>
                <w:b/>
              </w:rPr>
              <w:t xml:space="preserve"> 201</w:t>
            </w:r>
            <w:r w:rsidR="00393DCD" w:rsidRPr="00441526">
              <w:rPr>
                <w:b/>
              </w:rPr>
              <w:t>8</w:t>
            </w:r>
          </w:p>
        </w:tc>
      </w:tr>
    </w:tbl>
    <w:p w14:paraId="2E0E673C" w14:textId="77777777" w:rsidR="00D13D9D" w:rsidRPr="00A324FF" w:rsidRDefault="00D13D9D" w:rsidP="00DA7595">
      <w:pPr>
        <w:rPr>
          <w:lang w:val="en-NZ" w:eastAsia="ko-KR"/>
        </w:rPr>
      </w:pPr>
    </w:p>
    <w:p w14:paraId="2E0E6744" w14:textId="0D94455C" w:rsidR="00B64A60" w:rsidRPr="002A0111" w:rsidRDefault="002A0111" w:rsidP="00B64A60">
      <w:pPr>
        <w:jc w:val="center"/>
        <w:rPr>
          <w:lang w:val="en-NZ" w:eastAsia="ko-KR"/>
        </w:rPr>
      </w:pPr>
      <w:r w:rsidRPr="002A0111">
        <w:rPr>
          <w:lang w:val="en-NZ" w:eastAsia="ko-KR"/>
        </w:rPr>
        <w:t xml:space="preserve">Working Party </w:t>
      </w:r>
      <w:r w:rsidR="00394287">
        <w:rPr>
          <w:lang w:val="en-NZ" w:eastAsia="ko-KR"/>
        </w:rPr>
        <w:t>5</w:t>
      </w:r>
    </w:p>
    <w:p w14:paraId="2E0E6745" w14:textId="77777777" w:rsidR="00B64A60" w:rsidRPr="002A0111" w:rsidRDefault="00B64A60" w:rsidP="00B64A60">
      <w:pPr>
        <w:jc w:val="center"/>
        <w:rPr>
          <w:bCs/>
          <w:caps/>
          <w:lang w:val="en-NZ"/>
        </w:rPr>
      </w:pPr>
    </w:p>
    <w:p w14:paraId="2E0E6746" w14:textId="178AE4D6" w:rsidR="00B64A60" w:rsidRPr="00441526" w:rsidRDefault="00B64A60" w:rsidP="00B64A60">
      <w:pPr>
        <w:jc w:val="center"/>
        <w:rPr>
          <w:b/>
          <w:bCs/>
          <w:caps/>
          <w:lang w:val="en-NZ"/>
        </w:rPr>
      </w:pPr>
      <w:r w:rsidRPr="00441526">
        <w:rPr>
          <w:b/>
          <w:bCs/>
          <w:caps/>
          <w:lang w:val="en-NZ"/>
        </w:rPr>
        <w:t>PRELIMINARY</w:t>
      </w:r>
      <w:r w:rsidR="009A5E18">
        <w:rPr>
          <w:b/>
          <w:bCs/>
          <w:caps/>
          <w:lang w:val="en-NZ"/>
        </w:rPr>
        <w:t xml:space="preserve"> VIEWs on WRC-19 agenda item 1.9.2</w:t>
      </w:r>
      <w:r w:rsidR="002A0111">
        <w:rPr>
          <w:rStyle w:val="FootnoteReference"/>
          <w:b/>
          <w:bCs/>
          <w:caps/>
          <w:lang w:val="en-NZ"/>
        </w:rPr>
        <w:footnoteReference w:id="1"/>
      </w:r>
    </w:p>
    <w:p w14:paraId="2E0E6747" w14:textId="77777777" w:rsidR="00B64A60" w:rsidRPr="00441526" w:rsidRDefault="00B64A60" w:rsidP="00264566">
      <w:pPr>
        <w:spacing w:after="120"/>
        <w:rPr>
          <w:lang w:val="en-NZ"/>
        </w:rPr>
      </w:pPr>
    </w:p>
    <w:p w14:paraId="62F94C58" w14:textId="7FBFE2A9" w:rsidR="002A0111" w:rsidRPr="00441526" w:rsidRDefault="009A5E18" w:rsidP="002A0111">
      <w:pPr>
        <w:spacing w:after="120"/>
        <w:jc w:val="both"/>
        <w:rPr>
          <w:lang w:val="en-NZ"/>
        </w:rPr>
      </w:pPr>
      <w:r>
        <w:rPr>
          <w:b/>
          <w:lang w:val="en-NZ"/>
        </w:rPr>
        <w:t>Agenda Item 1.9.2</w:t>
      </w:r>
      <w:r w:rsidR="002A0111" w:rsidRPr="00441526">
        <w:rPr>
          <w:b/>
          <w:lang w:val="en-NZ"/>
        </w:rPr>
        <w:t xml:space="preserve">: </w:t>
      </w:r>
    </w:p>
    <w:p w14:paraId="42F68F88" w14:textId="27F18B16" w:rsidR="00394287" w:rsidRPr="00827CCB" w:rsidRDefault="00394287" w:rsidP="00394287">
      <w:pPr>
        <w:rPr>
          <w:i/>
        </w:rPr>
      </w:pPr>
      <w:r w:rsidRPr="00827CCB">
        <w:rPr>
          <w:i/>
        </w:rPr>
        <w:t>1.9</w:t>
      </w:r>
      <w:r w:rsidRPr="00827CCB">
        <w:rPr>
          <w:i/>
        </w:rPr>
        <w:tab/>
      </w:r>
      <w:r w:rsidRPr="00827CCB">
        <w:rPr>
          <w:i/>
          <w:lang w:eastAsia="nl-NL"/>
        </w:rPr>
        <w:t>to consider, based on the results of ITU</w:t>
      </w:r>
      <w:r w:rsidRPr="00827CCB">
        <w:rPr>
          <w:i/>
          <w:lang w:eastAsia="nl-NL"/>
        </w:rPr>
        <w:noBreakHyphen/>
        <w:t>R studies:</w:t>
      </w:r>
    </w:p>
    <w:p w14:paraId="07ED3C43" w14:textId="77777777" w:rsidR="00394287" w:rsidRPr="00827CCB" w:rsidRDefault="00394287" w:rsidP="00394287">
      <w:pPr>
        <w:rPr>
          <w:i/>
        </w:rPr>
      </w:pPr>
      <w:r w:rsidRPr="00827CCB">
        <w:rPr>
          <w:i/>
        </w:rPr>
        <w:t>1.9.2</w:t>
      </w:r>
      <w:r w:rsidRPr="00827CCB">
        <w:rPr>
          <w:i/>
        </w:rPr>
        <w:tab/>
      </w:r>
      <w:r w:rsidRPr="00827CCB">
        <w:rPr>
          <w:i/>
          <w:lang w:eastAsia="nl-NL"/>
        </w:rPr>
        <w:t>modifications of the Radio Regulations, including new spectrum allocations to the maritime mobile-satellite service (Earth</w:t>
      </w:r>
      <w:r w:rsidRPr="00827CCB">
        <w:rPr>
          <w:i/>
          <w:lang w:eastAsia="nl-NL"/>
        </w:rPr>
        <w:noBreakHyphen/>
        <w:t>to</w:t>
      </w:r>
      <w:r w:rsidRPr="00827CCB">
        <w:rPr>
          <w:i/>
          <w:lang w:eastAsia="nl-NL"/>
        </w:rPr>
        <w:noBreakHyphen/>
        <w:t xml:space="preserve">space and space-to-Earth), preferably within the frequency bands </w:t>
      </w:r>
      <w:r w:rsidRPr="00827CCB">
        <w:rPr>
          <w:i/>
        </w:rPr>
        <w:t>156.0125-157.4375 MHz and 160.6125-162.0375 MHz</w:t>
      </w:r>
      <w:r w:rsidRPr="00827CCB">
        <w:rPr>
          <w:i/>
          <w:lang w:eastAsia="nl-NL"/>
        </w:rPr>
        <w:t xml:space="preserve"> of Appendix</w:t>
      </w:r>
      <w:r w:rsidRPr="00827CCB">
        <w:rPr>
          <w:i/>
        </w:rPr>
        <w:t> </w:t>
      </w:r>
      <w:r w:rsidRPr="00827CCB">
        <w:rPr>
          <w:b/>
          <w:bCs/>
          <w:i/>
          <w:lang w:eastAsia="nl-NL"/>
        </w:rPr>
        <w:t>18</w:t>
      </w:r>
      <w:r w:rsidRPr="00827CCB">
        <w:rPr>
          <w:i/>
          <w:lang w:eastAsia="nl-NL"/>
        </w:rPr>
        <w:t>, to enable</w:t>
      </w:r>
      <w:r w:rsidRPr="00827CCB">
        <w:rPr>
          <w:i/>
        </w:rPr>
        <w:t xml:space="preserve"> a new VHF data exchange system (VDES) satellite component</w:t>
      </w:r>
      <w:r w:rsidRPr="00827CCB">
        <w:rPr>
          <w:i/>
          <w:lang w:eastAsia="nl-NL"/>
        </w:rPr>
        <w:t xml:space="preserve">, while ensuring that this component will not degrade the current terrestrial VDES components, applications specific messages (ASM) and AIS operations and </w:t>
      </w:r>
      <w:r w:rsidRPr="00827CCB">
        <w:rPr>
          <w:i/>
        </w:rPr>
        <w:t xml:space="preserve">not impose any additional constraints on existing services in these and adjacent frequency bands as stated in recognizing d) and e) </w:t>
      </w:r>
      <w:r w:rsidRPr="00827CCB">
        <w:rPr>
          <w:i/>
          <w:iCs/>
        </w:rPr>
        <w:t>of Resolution </w:t>
      </w:r>
      <w:r w:rsidRPr="00827CCB">
        <w:rPr>
          <w:b/>
          <w:bCs/>
          <w:i/>
          <w:iCs/>
        </w:rPr>
        <w:t>360</w:t>
      </w:r>
      <w:r w:rsidRPr="00827CCB">
        <w:rPr>
          <w:i/>
          <w:iCs/>
        </w:rPr>
        <w:t xml:space="preserve"> (</w:t>
      </w:r>
      <w:r w:rsidRPr="00827CCB">
        <w:rPr>
          <w:b/>
          <w:bCs/>
          <w:i/>
          <w:iCs/>
        </w:rPr>
        <w:t>Rev.WRC</w:t>
      </w:r>
      <w:r w:rsidRPr="00827CCB">
        <w:rPr>
          <w:b/>
          <w:bCs/>
          <w:i/>
          <w:iCs/>
        </w:rPr>
        <w:noBreakHyphen/>
        <w:t>15</w:t>
      </w:r>
      <w:r w:rsidRPr="00827CCB">
        <w:rPr>
          <w:i/>
          <w:iCs/>
        </w:rPr>
        <w:t>)</w:t>
      </w:r>
      <w:r w:rsidRPr="00827CCB">
        <w:rPr>
          <w:i/>
        </w:rPr>
        <w:t>;</w:t>
      </w:r>
    </w:p>
    <w:p w14:paraId="4C1F9636" w14:textId="77777777" w:rsidR="002A0111" w:rsidRPr="00441526" w:rsidRDefault="002A0111" w:rsidP="002A0111">
      <w:pPr>
        <w:jc w:val="both"/>
        <w:rPr>
          <w:lang w:val="en-NZ"/>
        </w:rPr>
      </w:pPr>
    </w:p>
    <w:p w14:paraId="72D2656A"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081F1213" w14:textId="77777777" w:rsidR="008F2EFA" w:rsidRPr="00467CCD" w:rsidRDefault="008F2EFA" w:rsidP="008F2EFA">
      <w:pPr>
        <w:spacing w:afterLines="50" w:after="120"/>
        <w:rPr>
          <w:lang w:eastAsia="ru-RU"/>
        </w:rPr>
      </w:pPr>
      <w:r w:rsidRPr="00675EAF">
        <w:rPr>
          <w:lang w:eastAsia="ru-RU"/>
        </w:rPr>
        <w:t xml:space="preserve">The studies associated with WRC-15 AI 1.16 resulted in elaboration of a concept for the VHF data exchange system (VDES) reflected in Recommendation ITU-R M.2092-0. The system combines the current Automatic Identification System (AIS), applications specific messages (ASM) as well as data exchange terrestrial and satellite components. </w:t>
      </w:r>
    </w:p>
    <w:p w14:paraId="2B051E2C" w14:textId="77777777" w:rsidR="008F2EFA" w:rsidRDefault="008F2EFA" w:rsidP="008F2EFA">
      <w:pPr>
        <w:spacing w:afterLines="50" w:after="120"/>
        <w:rPr>
          <w:lang w:eastAsia="ru-RU"/>
        </w:rPr>
      </w:pPr>
      <w:r w:rsidRPr="00F8019F">
        <w:rPr>
          <w:lang w:eastAsia="ru-RU"/>
        </w:rPr>
        <w:t xml:space="preserve">During WRC-15 no allocations were made to VDES satellite component since the compatibility studies with the incumbent services in the frequency bands assumed for </w:t>
      </w:r>
      <w:proofErr w:type="gramStart"/>
      <w:r w:rsidRPr="00F8019F">
        <w:rPr>
          <w:lang w:eastAsia="ru-RU"/>
        </w:rPr>
        <w:t>operation</w:t>
      </w:r>
      <w:proofErr w:type="gramEnd"/>
      <w:r w:rsidRPr="00F8019F">
        <w:rPr>
          <w:lang w:eastAsia="ru-RU"/>
        </w:rPr>
        <w:t xml:space="preserve"> of VDES satellite component and in the adjacent frequency bands were incomplete. </w:t>
      </w:r>
    </w:p>
    <w:p w14:paraId="7E634B75" w14:textId="24F63E34" w:rsidR="008F2EFA" w:rsidRPr="008F2EFA" w:rsidRDefault="008F2EFA" w:rsidP="008F2EFA">
      <w:pPr>
        <w:spacing w:afterLines="50" w:after="120"/>
        <w:jc w:val="both"/>
        <w:rPr>
          <w:rFonts w:eastAsiaTheme="minorEastAsia"/>
          <w:lang w:eastAsia="ja-JP"/>
        </w:rPr>
      </w:pPr>
      <w:r>
        <w:t xml:space="preserve">To this effect, </w:t>
      </w:r>
      <w:r w:rsidRPr="00467CCD">
        <w:t xml:space="preserve">Resolution </w:t>
      </w:r>
      <w:r w:rsidRPr="008F2EFA">
        <w:rPr>
          <w:b/>
          <w:bCs/>
        </w:rPr>
        <w:t>360</w:t>
      </w:r>
      <w:r w:rsidRPr="00467CCD">
        <w:t xml:space="preserve"> </w:t>
      </w:r>
      <w:r w:rsidRPr="008F2EFA">
        <w:rPr>
          <w:b/>
          <w:bCs/>
          <w:lang w:eastAsia="ru-RU"/>
        </w:rPr>
        <w:t>(WRC-12)</w:t>
      </w:r>
      <w:r>
        <w:rPr>
          <w:lang w:eastAsia="ru-RU"/>
        </w:rPr>
        <w:t xml:space="preserve"> </w:t>
      </w:r>
      <w:r w:rsidRPr="00467CCD">
        <w:t>was revised and updated to invite the WRC-19 to consider, based on the results of ITU-R studies, modifications of the Radio Regulations, including new spectrum allocations to the maritime mobile-satellite service (MMSS) (Earth-to-space and space</w:t>
      </w:r>
      <w:r w:rsidRPr="00467CCD">
        <w:noBreakHyphen/>
        <w:t>to</w:t>
      </w:r>
      <w:r w:rsidRPr="00467CCD">
        <w:noBreakHyphen/>
        <w:t>Earth), preferably within the frequency bands 156.0</w:t>
      </w:r>
      <w:r w:rsidR="00187155">
        <w:t>125-157.4375 MHz and 160.6125</w:t>
      </w:r>
      <w:r w:rsidR="00187155">
        <w:noBreakHyphen/>
      </w:r>
      <w:r w:rsidRPr="00467CCD">
        <w:t xml:space="preserve">162.0375 MHz of RR Appendix </w:t>
      </w:r>
      <w:r w:rsidRPr="008F2EFA">
        <w:rPr>
          <w:b/>
          <w:bCs/>
        </w:rPr>
        <w:t>18</w:t>
      </w:r>
      <w:r w:rsidRPr="00467CCD">
        <w:t>, to enable a new VHF data exchange system (VDES) satellite component, while ensuring that this component will not degrade the current terrestrial VDES components, ap</w:t>
      </w:r>
      <w:r w:rsidRPr="00467CCD">
        <w:rPr>
          <w:lang w:eastAsia="ja-JP"/>
        </w:rPr>
        <w:t>plication specific message</w:t>
      </w:r>
      <w:r w:rsidRPr="00467CCD">
        <w:t xml:space="preserve"> (ASM) and automatic identification system (AIS) operations and not impose any additional constraints on existing services in these and adjacent frequency bands as stated in </w:t>
      </w:r>
      <w:r w:rsidRPr="008F2EFA">
        <w:rPr>
          <w:i/>
          <w:iCs/>
        </w:rPr>
        <w:t>recognizing d)</w:t>
      </w:r>
      <w:r w:rsidRPr="00467CCD">
        <w:t xml:space="preserve"> and </w:t>
      </w:r>
      <w:r w:rsidRPr="008F2EFA">
        <w:rPr>
          <w:i/>
          <w:iCs/>
        </w:rPr>
        <w:t>e)</w:t>
      </w:r>
      <w:r w:rsidRPr="00467CCD">
        <w:t xml:space="preserve"> of Resolution </w:t>
      </w:r>
      <w:r w:rsidRPr="008F2EFA">
        <w:rPr>
          <w:b/>
          <w:bCs/>
        </w:rPr>
        <w:t>360 (Rev. WRC-15)</w:t>
      </w:r>
      <w:r w:rsidRPr="00467CCD">
        <w:t>.</w:t>
      </w:r>
    </w:p>
    <w:p w14:paraId="58596468" w14:textId="12FDA4C1" w:rsidR="008F2EFA" w:rsidRPr="000C6CA2" w:rsidRDefault="008F2EFA" w:rsidP="008F2EFA">
      <w:pPr>
        <w:spacing w:afterLines="50" w:after="120"/>
        <w:jc w:val="both"/>
        <w:rPr>
          <w:rFonts w:eastAsia="MS Mincho"/>
          <w:bCs/>
        </w:rPr>
      </w:pPr>
      <w:r w:rsidRPr="000C6CA2">
        <w:rPr>
          <w:rFonts w:eastAsia="MS Mincho"/>
          <w:bCs/>
        </w:rPr>
        <w:t>At the WP 5B meeting in November 2017, the following three methods (Method A, Me</w:t>
      </w:r>
      <w:r w:rsidR="007E3C5C">
        <w:rPr>
          <w:rFonts w:eastAsia="MS Mincho"/>
          <w:bCs/>
        </w:rPr>
        <w:t xml:space="preserve">thod B and Method C) were </w:t>
      </w:r>
      <w:r w:rsidR="007E3C5C">
        <w:rPr>
          <w:rFonts w:eastAsia="MS Mincho" w:hint="eastAsia"/>
          <w:bCs/>
          <w:lang w:eastAsia="ja-JP"/>
        </w:rPr>
        <w:t>proposed</w:t>
      </w:r>
      <w:r w:rsidRPr="000C6CA2">
        <w:rPr>
          <w:rFonts w:eastAsia="MS Mincho"/>
          <w:bCs/>
        </w:rPr>
        <w:t xml:space="preserve"> to allocate VDES satellite component frequencies.</w:t>
      </w:r>
    </w:p>
    <w:p w14:paraId="106A24E1" w14:textId="4EE80713" w:rsidR="00AA5309" w:rsidRDefault="00AA5309" w:rsidP="00AA5309">
      <w:pPr>
        <w:snapToGrid w:val="0"/>
        <w:spacing w:beforeLines="50" w:before="120"/>
        <w:jc w:val="both"/>
        <w:rPr>
          <w:rFonts w:eastAsia="SimSun"/>
          <w:lang w:eastAsia="zh-CN"/>
        </w:rPr>
      </w:pPr>
      <w:r>
        <w:rPr>
          <w:rFonts w:eastAsia="SimSun" w:hint="eastAsia"/>
          <w:lang w:eastAsia="zh-CN"/>
        </w:rPr>
        <w:t>D</w:t>
      </w:r>
      <w:r>
        <w:rPr>
          <w:rFonts w:eastAsia="SimSun"/>
          <w:lang w:eastAsia="zh-CN"/>
        </w:rPr>
        <w:t xml:space="preserve">ivergent views were expressed and no consensus reached during the discussion on the compatibility sharing studies related to VDES satellite component and land mobile service. The proponents of VDES satellite component proposed to </w:t>
      </w:r>
      <w:r w:rsidRPr="005C7411">
        <w:rPr>
          <w:rFonts w:eastAsia="SimSun"/>
          <w:lang w:eastAsia="zh-CN"/>
        </w:rPr>
        <w:t xml:space="preserve">apply </w:t>
      </w:r>
      <w:r>
        <w:rPr>
          <w:rFonts w:eastAsia="SimSun"/>
          <w:lang w:eastAsia="zh-CN"/>
        </w:rPr>
        <w:t xml:space="preserve">the </w:t>
      </w:r>
      <w:proofErr w:type="spellStart"/>
      <w:r w:rsidR="007E3C5C">
        <w:rPr>
          <w:rFonts w:eastAsia="SimSun"/>
          <w:lang w:eastAsia="zh-CN"/>
        </w:rPr>
        <w:t>pfd</w:t>
      </w:r>
      <w:proofErr w:type="spellEnd"/>
      <w:r>
        <w:rPr>
          <w:rFonts w:eastAsia="SimSun"/>
          <w:lang w:eastAsia="zh-CN"/>
        </w:rPr>
        <w:t xml:space="preserve"> mask listed in the Recommendation ITU-R M.2092-0 </w:t>
      </w:r>
      <w:r w:rsidRPr="005C7411">
        <w:rPr>
          <w:rFonts w:eastAsia="SimSun"/>
          <w:lang w:eastAsia="zh-CN"/>
        </w:rPr>
        <w:t>as protection criteria</w:t>
      </w:r>
      <w:r>
        <w:rPr>
          <w:rFonts w:eastAsia="SimSun"/>
          <w:lang w:eastAsia="zh-CN"/>
        </w:rPr>
        <w:t xml:space="preserve">. And the proponents to land mobile service draw a conclusion that </w:t>
      </w:r>
      <w:r w:rsidRPr="007F6247">
        <w:rPr>
          <w:rFonts w:eastAsia="SimSun"/>
          <w:lang w:eastAsia="zh-CN"/>
        </w:rPr>
        <w:t xml:space="preserve">the </w:t>
      </w:r>
      <w:proofErr w:type="spellStart"/>
      <w:r w:rsidR="007E3C5C">
        <w:rPr>
          <w:rFonts w:eastAsia="SimSun"/>
          <w:lang w:eastAsia="zh-CN"/>
        </w:rPr>
        <w:t>pfd</w:t>
      </w:r>
      <w:proofErr w:type="spellEnd"/>
      <w:r>
        <w:rPr>
          <w:rFonts w:eastAsia="SimSun"/>
          <w:lang w:eastAsia="zh-CN"/>
        </w:rPr>
        <w:t xml:space="preserve"> mask in M.2092-0 will</w:t>
      </w:r>
      <w:r w:rsidRPr="007F6247">
        <w:rPr>
          <w:rFonts w:eastAsia="SimSun"/>
          <w:lang w:eastAsia="zh-CN"/>
        </w:rPr>
        <w:t xml:space="preserve"> cause unacceptable interference to </w:t>
      </w:r>
      <w:r w:rsidRPr="007F6247">
        <w:rPr>
          <w:rFonts w:eastAsia="SimSun"/>
          <w:lang w:eastAsia="zh-CN"/>
        </w:rPr>
        <w:lastRenderedPageBreak/>
        <w:t>the systems in the mobile service</w:t>
      </w:r>
      <w:r>
        <w:rPr>
          <w:rFonts w:eastAsia="SimSun"/>
          <w:lang w:eastAsia="zh-CN"/>
        </w:rPr>
        <w:t xml:space="preserve">, and suggested to develop a </w:t>
      </w:r>
      <w:proofErr w:type="spellStart"/>
      <w:r>
        <w:rPr>
          <w:rFonts w:eastAsia="SimSun"/>
          <w:lang w:eastAsia="zh-CN"/>
        </w:rPr>
        <w:t>pfd</w:t>
      </w:r>
      <w:proofErr w:type="spellEnd"/>
      <w:r>
        <w:rPr>
          <w:rFonts w:eastAsia="SimSun"/>
          <w:lang w:eastAsia="zh-CN"/>
        </w:rPr>
        <w:t xml:space="preserve"> mask based on the </w:t>
      </w:r>
      <w:r w:rsidRPr="005C7411">
        <w:rPr>
          <w:rFonts w:eastAsia="SimSun"/>
          <w:lang w:eastAsia="zh-CN"/>
        </w:rPr>
        <w:t xml:space="preserve">technical parameters and protection criteria </w:t>
      </w:r>
      <w:r>
        <w:rPr>
          <w:rFonts w:eastAsia="SimSun"/>
          <w:lang w:eastAsia="zh-CN"/>
        </w:rPr>
        <w:t>contained in the Recommendation ITU-R M.1808-0</w:t>
      </w:r>
      <w:r>
        <w:rPr>
          <w:rFonts w:eastAsia="SimSun" w:hint="eastAsia"/>
          <w:lang w:eastAsia="zh-CN"/>
        </w:rPr>
        <w:t xml:space="preserve">, which </w:t>
      </w:r>
      <w:r>
        <w:rPr>
          <w:rFonts w:eastAsia="SimSun"/>
          <w:lang w:eastAsia="zh-CN"/>
        </w:rPr>
        <w:t>has been used by different ITU-R Study Groups in numerous compatibility studies between land mobile service and other service in the VHF band.</w:t>
      </w:r>
    </w:p>
    <w:p w14:paraId="589DCE5B" w14:textId="77777777" w:rsidR="00AA5309" w:rsidRDefault="00AA5309" w:rsidP="00AA5309">
      <w:pPr>
        <w:snapToGrid w:val="0"/>
        <w:spacing w:beforeLines="50" w:before="120"/>
        <w:jc w:val="both"/>
        <w:rPr>
          <w:rFonts w:eastAsia="SimSun"/>
          <w:lang w:eastAsia="zh-CN"/>
        </w:rPr>
      </w:pPr>
    </w:p>
    <w:p w14:paraId="786DD6E0" w14:textId="41A9577D" w:rsidR="008F2EFA" w:rsidRPr="009948F9" w:rsidRDefault="008F2EFA" w:rsidP="008F2EFA">
      <w:pPr>
        <w:spacing w:afterLines="50" w:after="120"/>
        <w:jc w:val="both"/>
        <w:rPr>
          <w:rFonts w:eastAsiaTheme="minorEastAsia"/>
          <w:b/>
          <w:lang w:eastAsia="ja-JP"/>
        </w:rPr>
      </w:pPr>
      <w:r w:rsidRPr="009948F9">
        <w:rPr>
          <w:rFonts w:eastAsiaTheme="minorEastAsia"/>
          <w:b/>
          <w:lang w:eastAsia="ja-JP"/>
        </w:rPr>
        <w:t>Method A</w:t>
      </w:r>
    </w:p>
    <w:p w14:paraId="28D93B33" w14:textId="70E72330" w:rsidR="008F2EFA" w:rsidRPr="009948F9" w:rsidRDefault="008F2EFA" w:rsidP="008F2EFA">
      <w:pPr>
        <w:spacing w:afterLines="50" w:after="120"/>
        <w:jc w:val="both"/>
        <w:rPr>
          <w:rFonts w:eastAsiaTheme="minorEastAsia"/>
          <w:lang w:eastAsia="ja-JP"/>
        </w:rPr>
      </w:pPr>
      <w:r w:rsidRPr="009948F9">
        <w:rPr>
          <w:rFonts w:eastAsiaTheme="minorEastAsia"/>
          <w:lang w:eastAsia="ja-JP"/>
        </w:rPr>
        <w:t xml:space="preserve">The Method proposes a new primary allocation for the maritime mobile-satellite service (Earth to-space), for frequency band 157.1875-157.3375 MHz (channels 1024, 1084, 1025, 1085, 1026 and 1086) and frequency band 161.8875-161.9375 </w:t>
      </w:r>
      <w:r w:rsidR="00187155">
        <w:rPr>
          <w:rFonts w:eastAsiaTheme="minorEastAsia"/>
          <w:lang w:eastAsia="ja-JP"/>
        </w:rPr>
        <w:t xml:space="preserve">MHz </w:t>
      </w:r>
      <w:r w:rsidRPr="009948F9">
        <w:rPr>
          <w:rFonts w:eastAsiaTheme="minorEastAsia"/>
          <w:lang w:eastAsia="ja-JP"/>
        </w:rPr>
        <w:t>(channels 2026 and 2086). The channels 1026, 1086, 2026 and 2086 are exclusively reserved for ship to satellite (VDE-SAT uplink) services. The channels 1024, 1084, 1025 and 1085 are reserved for ship-to-shore services, but ship-to-satellite (VDE-SAT uplink) services are possible without imposing constraints on ship-to-shore services.</w:t>
      </w:r>
    </w:p>
    <w:p w14:paraId="30C0D5B1" w14:textId="72FBF9ED" w:rsidR="008F2EFA" w:rsidRPr="009948F9" w:rsidRDefault="008F2EFA" w:rsidP="008F2EFA">
      <w:pPr>
        <w:spacing w:afterLines="50" w:after="120"/>
        <w:jc w:val="both"/>
        <w:rPr>
          <w:rFonts w:eastAsiaTheme="minorEastAsia"/>
          <w:lang w:eastAsia="ja-JP"/>
        </w:rPr>
      </w:pPr>
      <w:r w:rsidRPr="009948F9">
        <w:rPr>
          <w:rFonts w:eastAsiaTheme="minorEastAsia"/>
          <w:lang w:eastAsia="ja-JP"/>
        </w:rPr>
        <w:t>The Method proposes a new primary allocation for the maritime mobile-satellite service (space to-Ear</w:t>
      </w:r>
      <w:r w:rsidR="00600CC2">
        <w:rPr>
          <w:rFonts w:eastAsiaTheme="minorEastAsia"/>
          <w:lang w:eastAsia="ja-JP"/>
        </w:rPr>
        <w:t>th) for frequency band 160.9625-</w:t>
      </w:r>
      <w:r w:rsidRPr="009948F9">
        <w:rPr>
          <w:rFonts w:eastAsiaTheme="minorEastAsia"/>
          <w:lang w:eastAsia="ja-JP"/>
        </w:rPr>
        <w:t>161.4875 MHz, for improved VDE communication capacity and coverage.</w:t>
      </w:r>
    </w:p>
    <w:p w14:paraId="7F0BB5D1" w14:textId="77777777" w:rsidR="008F2EFA" w:rsidRPr="009948F9" w:rsidRDefault="008F2EFA" w:rsidP="008F2EFA">
      <w:pPr>
        <w:spacing w:afterLines="50" w:after="120"/>
        <w:jc w:val="both"/>
        <w:rPr>
          <w:rFonts w:eastAsiaTheme="minorEastAsia"/>
          <w:b/>
          <w:lang w:eastAsia="ja-JP"/>
        </w:rPr>
      </w:pPr>
      <w:r w:rsidRPr="009948F9">
        <w:rPr>
          <w:rFonts w:eastAsiaTheme="minorEastAsia"/>
          <w:b/>
          <w:lang w:eastAsia="ja-JP"/>
        </w:rPr>
        <w:t>Method B</w:t>
      </w:r>
    </w:p>
    <w:p w14:paraId="7F4B0BEE" w14:textId="77777777" w:rsidR="008F2EFA" w:rsidRDefault="008F2EFA" w:rsidP="008F2EFA">
      <w:pPr>
        <w:spacing w:afterLines="50" w:after="120"/>
        <w:jc w:val="both"/>
        <w:rPr>
          <w:rFonts w:eastAsiaTheme="minorEastAsia"/>
          <w:lang w:eastAsia="ja-JP"/>
        </w:rPr>
      </w:pPr>
      <w:r w:rsidRPr="009948F9">
        <w:rPr>
          <w:rFonts w:eastAsiaTheme="minorEastAsia"/>
          <w:lang w:eastAsia="ja-JP"/>
        </w:rPr>
        <w:t>Due to the sharing difficulties of the VDES satellite component uplink and downlink with the systems in the land mobile service it is proposed to make no changes in the Radio Regulations.</w:t>
      </w:r>
    </w:p>
    <w:p w14:paraId="7D15B726" w14:textId="77777777" w:rsidR="008F2EFA" w:rsidRPr="009948F9" w:rsidRDefault="008F2EFA" w:rsidP="008F2EFA">
      <w:pPr>
        <w:spacing w:afterLines="50" w:after="120"/>
        <w:jc w:val="both"/>
        <w:rPr>
          <w:rFonts w:eastAsiaTheme="minorEastAsia"/>
          <w:b/>
          <w:lang w:eastAsia="ja-JP"/>
        </w:rPr>
      </w:pPr>
      <w:r w:rsidRPr="009948F9">
        <w:rPr>
          <w:rFonts w:eastAsiaTheme="minorEastAsia"/>
          <w:b/>
          <w:lang w:eastAsia="ja-JP"/>
        </w:rPr>
        <w:t>Method C</w:t>
      </w:r>
    </w:p>
    <w:p w14:paraId="4520193A" w14:textId="77777777" w:rsidR="008F2EFA" w:rsidRPr="009948F9" w:rsidRDefault="008F2EFA" w:rsidP="008F2EFA">
      <w:pPr>
        <w:spacing w:afterLines="50" w:after="120"/>
        <w:jc w:val="both"/>
        <w:rPr>
          <w:rFonts w:eastAsiaTheme="minorEastAsia"/>
          <w:lang w:eastAsia="ja-JP"/>
        </w:rPr>
      </w:pPr>
      <w:r w:rsidRPr="009948F9">
        <w:rPr>
          <w:rFonts w:eastAsiaTheme="minorEastAsia"/>
          <w:lang w:eastAsia="ja-JP"/>
        </w:rPr>
        <w:t xml:space="preserve">The Method proposes a new primary allocation for the maritime mobile-satellite service (Earth to-space) for the frequency band 157.1875-157.3375 MHz (channels 1024, 1084, 1025, 1085, 1026 and 1086 of RR Appendix </w:t>
      </w:r>
      <w:r w:rsidRPr="009948F9">
        <w:rPr>
          <w:rFonts w:eastAsiaTheme="minorEastAsia"/>
          <w:b/>
          <w:lang w:eastAsia="ja-JP"/>
        </w:rPr>
        <w:t>18</w:t>
      </w:r>
      <w:r w:rsidRPr="009948F9">
        <w:rPr>
          <w:rFonts w:eastAsiaTheme="minorEastAsia"/>
          <w:lang w:eastAsia="ja-JP"/>
        </w:rPr>
        <w:t>).</w:t>
      </w:r>
    </w:p>
    <w:p w14:paraId="7B74999D" w14:textId="77777777" w:rsidR="008F2EFA" w:rsidRPr="009948F9" w:rsidRDefault="008F2EFA" w:rsidP="008F2EFA">
      <w:pPr>
        <w:spacing w:afterLines="50" w:after="120"/>
        <w:jc w:val="both"/>
        <w:rPr>
          <w:rFonts w:eastAsiaTheme="minorEastAsia"/>
          <w:lang w:eastAsia="ja-JP"/>
        </w:rPr>
      </w:pPr>
      <w:r w:rsidRPr="009948F9">
        <w:rPr>
          <w:rFonts w:eastAsiaTheme="minorEastAsia"/>
          <w:lang w:eastAsia="ja-JP"/>
        </w:rPr>
        <w:t xml:space="preserve">The Method proposes a new primary allocation for the maritime mobile-satellite service (space to-Earth) for the frequency band 161.7875-161.9375 MHz (channels 2024, 2084, 2025, 2085, 2026 and 2086 of RR Appendix </w:t>
      </w:r>
      <w:r w:rsidRPr="007E3C5C">
        <w:rPr>
          <w:rFonts w:eastAsiaTheme="minorEastAsia"/>
          <w:b/>
          <w:lang w:eastAsia="ja-JP"/>
        </w:rPr>
        <w:t>18</w:t>
      </w:r>
      <w:r w:rsidRPr="009948F9">
        <w:rPr>
          <w:rFonts w:eastAsiaTheme="minorEastAsia"/>
          <w:lang w:eastAsia="ja-JP"/>
        </w:rPr>
        <w:t>), for improved VDE communication capacity and coverage.</w:t>
      </w:r>
    </w:p>
    <w:p w14:paraId="31166D6F" w14:textId="77777777" w:rsidR="008F2EFA" w:rsidRPr="008F2EFA" w:rsidRDefault="008F2EFA" w:rsidP="008230B1">
      <w:pPr>
        <w:jc w:val="both"/>
        <w:rPr>
          <w:rFonts w:eastAsia="MS Mincho"/>
          <w:lang w:eastAsia="ja-JP"/>
        </w:rPr>
      </w:pPr>
    </w:p>
    <w:p w14:paraId="285A00A5" w14:textId="77777777" w:rsidR="008F2EFA" w:rsidRPr="00B66AE5" w:rsidRDefault="008F2EFA" w:rsidP="008F2EFA">
      <w:pPr>
        <w:spacing w:after="120"/>
        <w:jc w:val="both"/>
        <w:rPr>
          <w:rFonts w:eastAsiaTheme="minorEastAsia"/>
          <w:b/>
          <w:lang w:eastAsia="ja-JP"/>
        </w:rPr>
      </w:pPr>
      <w:r w:rsidRPr="00B66AE5">
        <w:rPr>
          <w:rFonts w:eastAsiaTheme="minorEastAsia"/>
          <w:b/>
          <w:lang w:eastAsia="ja-JP"/>
        </w:rPr>
        <w:t>List of relevant ITU-R Reports/Recommendations</w:t>
      </w:r>
    </w:p>
    <w:p w14:paraId="1FD78C97" w14:textId="77777777" w:rsidR="008F2EFA" w:rsidRPr="00B66AE5" w:rsidRDefault="008F2EFA" w:rsidP="008F2EFA">
      <w:pPr>
        <w:pStyle w:val="ListParagraph"/>
        <w:spacing w:after="120"/>
        <w:ind w:left="709" w:hanging="426"/>
        <w:jc w:val="both"/>
        <w:rPr>
          <w:lang w:val="en-NZ"/>
        </w:rPr>
      </w:pPr>
      <w:r w:rsidRPr="00B66AE5">
        <w:rPr>
          <w:lang w:val="en-NZ"/>
        </w:rPr>
        <w:t>-</w:t>
      </w:r>
      <w:r w:rsidRPr="00B66AE5">
        <w:rPr>
          <w:lang w:val="en-NZ"/>
        </w:rPr>
        <w:tab/>
      </w:r>
      <w:r w:rsidRPr="00B66AE5">
        <w:rPr>
          <w:rFonts w:hint="eastAsia"/>
          <w:lang w:val="en-NZ"/>
        </w:rPr>
        <w:t>Recommendation ITU-R M.2092-0</w:t>
      </w:r>
      <w:r w:rsidRPr="00B66AE5">
        <w:rPr>
          <w:lang w:val="en-NZ"/>
        </w:rPr>
        <w:t>: Technical characteristics for a VHF data exchange system in the VHF maritime mobile band</w:t>
      </w:r>
    </w:p>
    <w:p w14:paraId="2B393DBF" w14:textId="1E1B1054" w:rsidR="008F2EFA" w:rsidRDefault="008F2EFA" w:rsidP="008F2EFA">
      <w:pPr>
        <w:ind w:leftChars="119" w:left="708" w:hangingChars="176" w:hanging="422"/>
        <w:jc w:val="both"/>
        <w:rPr>
          <w:lang w:val="en-NZ"/>
        </w:rPr>
      </w:pPr>
      <w:r w:rsidRPr="00B66AE5">
        <w:rPr>
          <w:lang w:val="en-NZ"/>
        </w:rPr>
        <w:t>-</w:t>
      </w:r>
      <w:r w:rsidRPr="00B66AE5">
        <w:rPr>
          <w:lang w:val="en-NZ"/>
        </w:rPr>
        <w:tab/>
        <w:t>Working document towards a preliminary draft new Report ITU-R M</w:t>
      </w:r>
      <w:proofErr w:type="gramStart"/>
      <w:r w:rsidRPr="00B66AE5">
        <w:rPr>
          <w:lang w:val="en-NZ"/>
        </w:rPr>
        <w:t>.[</w:t>
      </w:r>
      <w:proofErr w:type="gramEnd"/>
      <w:r w:rsidRPr="00B66AE5">
        <w:rPr>
          <w:lang w:val="en-NZ"/>
        </w:rPr>
        <w:t>VDES-SAT]</w:t>
      </w:r>
      <w:r w:rsidRPr="00B66AE5">
        <w:rPr>
          <w:lang w:val="en-NZ"/>
        </w:rPr>
        <w:br/>
      </w:r>
      <w:r w:rsidRPr="00E254D2">
        <w:rPr>
          <w:lang w:val="en-NZ"/>
        </w:rPr>
        <w:t xml:space="preserve"> </w:t>
      </w:r>
      <w:r w:rsidRPr="00B66AE5">
        <w:rPr>
          <w:lang w:val="en-NZ"/>
        </w:rPr>
        <w:t xml:space="preserve">(Document </w:t>
      </w:r>
      <w:hyperlink r:id="rId9" w:history="1">
        <w:r w:rsidRPr="00E254D2">
          <w:rPr>
            <w:lang w:val="en-NZ"/>
          </w:rPr>
          <w:t>5B/</w:t>
        </w:r>
      </w:hyperlink>
      <w:r>
        <w:rPr>
          <w:lang w:val="en-NZ"/>
        </w:rPr>
        <w:t>411/Annex 27</w:t>
      </w:r>
      <w:r w:rsidRPr="00B66AE5">
        <w:rPr>
          <w:lang w:val="en-NZ"/>
        </w:rPr>
        <w:t>)</w:t>
      </w:r>
    </w:p>
    <w:p w14:paraId="6EDC7921" w14:textId="77777777" w:rsidR="00616F1D" w:rsidRPr="00616F1D" w:rsidRDefault="00616F1D" w:rsidP="002A0111">
      <w:pPr>
        <w:jc w:val="both"/>
        <w:rPr>
          <w:lang w:val="en-NZ"/>
        </w:rPr>
      </w:pPr>
    </w:p>
    <w:p w14:paraId="5AC63119"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317396F3" w14:textId="28A9AB77" w:rsidR="00616F1D" w:rsidRPr="00616F1D" w:rsidRDefault="00616F1D" w:rsidP="00660895">
      <w:pPr>
        <w:jc w:val="both"/>
        <w:rPr>
          <w:lang w:val="en-NZ"/>
        </w:rPr>
      </w:pPr>
      <w:r w:rsidRPr="00616F1D">
        <w:rPr>
          <w:lang w:val="en-NZ"/>
        </w:rPr>
        <w:t xml:space="preserve">Input Documents </w:t>
      </w:r>
      <w:bookmarkStart w:id="0" w:name="_Hlk508687202"/>
      <w:r w:rsidRPr="00616F1D">
        <w:rPr>
          <w:lang w:val="en-NZ"/>
        </w:rPr>
        <w:t xml:space="preserve">APG19-3/INP-25 (KOR), </w:t>
      </w:r>
      <w:r w:rsidR="007919BD" w:rsidRPr="00616F1D">
        <w:rPr>
          <w:lang w:val="en-NZ"/>
        </w:rPr>
        <w:t>APG19-3/</w:t>
      </w:r>
      <w:r w:rsidRPr="00616F1D">
        <w:rPr>
          <w:lang w:val="en-NZ"/>
        </w:rPr>
        <w:t xml:space="preserve">INP-32 (IRN), </w:t>
      </w:r>
      <w:r w:rsidR="007919BD" w:rsidRPr="00616F1D">
        <w:rPr>
          <w:lang w:val="en-NZ"/>
        </w:rPr>
        <w:t>APG19-3/</w:t>
      </w:r>
      <w:r w:rsidRPr="00616F1D">
        <w:rPr>
          <w:lang w:val="en-NZ"/>
        </w:rPr>
        <w:t xml:space="preserve">INP-38 (NZL), </w:t>
      </w:r>
      <w:r w:rsidR="007919BD" w:rsidRPr="00616F1D">
        <w:rPr>
          <w:lang w:val="en-NZ"/>
        </w:rPr>
        <w:t>APG19-3/</w:t>
      </w:r>
      <w:r w:rsidRPr="00616F1D">
        <w:rPr>
          <w:lang w:val="en-NZ"/>
        </w:rPr>
        <w:t xml:space="preserve">INP-45 (AUS), </w:t>
      </w:r>
      <w:r w:rsidR="007919BD" w:rsidRPr="00616F1D">
        <w:rPr>
          <w:lang w:val="en-NZ"/>
        </w:rPr>
        <w:t>APG19-3/</w:t>
      </w:r>
      <w:r w:rsidRPr="00616F1D">
        <w:rPr>
          <w:lang w:val="en-NZ"/>
        </w:rPr>
        <w:t xml:space="preserve">INP-53 (J), </w:t>
      </w:r>
      <w:r w:rsidR="007919BD" w:rsidRPr="00616F1D">
        <w:rPr>
          <w:lang w:val="en-NZ"/>
        </w:rPr>
        <w:t>APG19-3/</w:t>
      </w:r>
      <w:r w:rsidRPr="00616F1D">
        <w:rPr>
          <w:lang w:val="en-NZ"/>
        </w:rPr>
        <w:t xml:space="preserve">INP-63 (THA), </w:t>
      </w:r>
      <w:r w:rsidR="007919BD" w:rsidRPr="00616F1D">
        <w:rPr>
          <w:lang w:val="en-NZ"/>
        </w:rPr>
        <w:t>APG19-3/</w:t>
      </w:r>
      <w:r w:rsidRPr="00616F1D">
        <w:rPr>
          <w:lang w:val="en-NZ"/>
        </w:rPr>
        <w:t xml:space="preserve">INP-80 (INA), </w:t>
      </w:r>
      <w:r w:rsidR="007919BD" w:rsidRPr="00616F1D">
        <w:rPr>
          <w:lang w:val="en-NZ"/>
        </w:rPr>
        <w:t>APG19-3/</w:t>
      </w:r>
      <w:r w:rsidRPr="00616F1D">
        <w:rPr>
          <w:lang w:val="en-NZ"/>
        </w:rPr>
        <w:t xml:space="preserve">INP-85 (VTN), </w:t>
      </w:r>
      <w:r w:rsidR="007919BD" w:rsidRPr="00616F1D">
        <w:rPr>
          <w:lang w:val="en-NZ"/>
        </w:rPr>
        <w:t>APG19-3/</w:t>
      </w:r>
      <w:r w:rsidRPr="00616F1D">
        <w:rPr>
          <w:lang w:val="en-NZ"/>
        </w:rPr>
        <w:t>INP-90 (CHN)</w:t>
      </w:r>
      <w:bookmarkEnd w:id="0"/>
    </w:p>
    <w:p w14:paraId="620B8C6E" w14:textId="77777777" w:rsidR="00660895" w:rsidRDefault="00660895" w:rsidP="00660895">
      <w:pPr>
        <w:jc w:val="both"/>
        <w:rPr>
          <w:lang w:val="en-NZ"/>
        </w:rPr>
      </w:pPr>
    </w:p>
    <w:p w14:paraId="3A72B95A" w14:textId="270ABD43" w:rsidR="00616F1D" w:rsidRPr="00441526" w:rsidRDefault="00616F1D" w:rsidP="00660895">
      <w:pPr>
        <w:jc w:val="both"/>
        <w:rPr>
          <w:lang w:val="en-NZ"/>
        </w:rPr>
      </w:pPr>
      <w:r w:rsidRPr="00441526">
        <w:rPr>
          <w:lang w:val="en-NZ"/>
        </w:rPr>
        <w:t xml:space="preserve">Information Documents </w:t>
      </w:r>
      <w:r w:rsidRPr="00616F1D">
        <w:rPr>
          <w:lang w:val="en-NZ"/>
        </w:rPr>
        <w:t xml:space="preserve">APG19-3/INF-06 (CEPT), </w:t>
      </w:r>
      <w:bookmarkStart w:id="1" w:name="_Hlk508687273"/>
      <w:r w:rsidR="007919BD" w:rsidRPr="00616F1D">
        <w:rPr>
          <w:lang w:val="en-NZ"/>
        </w:rPr>
        <w:t>APG19-3/</w:t>
      </w:r>
      <w:bookmarkEnd w:id="1"/>
      <w:r w:rsidRPr="00616F1D">
        <w:rPr>
          <w:lang w:val="en-NZ"/>
        </w:rPr>
        <w:t>INF-08 (CITEL)</w:t>
      </w:r>
      <w:r w:rsidR="00660895" w:rsidRPr="00660895">
        <w:rPr>
          <w:lang w:val="en-NZ"/>
        </w:rPr>
        <w:t xml:space="preserve"> (Rev.1)</w:t>
      </w:r>
    </w:p>
    <w:p w14:paraId="26A8FCEF" w14:textId="4828E52D" w:rsidR="002A0111" w:rsidRPr="00616F1D" w:rsidRDefault="002A0111" w:rsidP="003D3D47">
      <w:pPr>
        <w:jc w:val="both"/>
        <w:rPr>
          <w:b/>
          <w:lang w:val="en-NZ" w:eastAsia="ko-KR"/>
        </w:rPr>
      </w:pPr>
    </w:p>
    <w:p w14:paraId="27E54C89" w14:textId="04835516"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3BFC1A6A"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C142B8F" w14:textId="33D75C8C" w:rsidR="002A0111" w:rsidRPr="0016152C"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3C4B10" w:rsidRPr="003C4B10">
        <w:rPr>
          <w:b/>
          <w:lang w:val="en-NZ" w:eastAsia="ko-KR"/>
        </w:rPr>
        <w:t>Korea (Rep. of)</w:t>
      </w:r>
      <w:r w:rsidRPr="00441526">
        <w:rPr>
          <w:b/>
          <w:lang w:val="en-NZ" w:eastAsia="ko-KR"/>
        </w:rPr>
        <w:t xml:space="preserve"> </w:t>
      </w:r>
      <w:r w:rsidRPr="00441526">
        <w:t xml:space="preserve">- </w:t>
      </w:r>
      <w:r w:rsidR="003C4B10">
        <w:rPr>
          <w:b/>
          <w:lang w:val="en-NZ" w:eastAsia="ko-KR"/>
        </w:rPr>
        <w:t>Document APG19-3/INP-25</w:t>
      </w:r>
    </w:p>
    <w:p w14:paraId="2F181479" w14:textId="7FBF6CAD" w:rsidR="0016152C" w:rsidRPr="002037F7" w:rsidRDefault="0016152C" w:rsidP="001D1419">
      <w:pPr>
        <w:ind w:left="-80"/>
        <w:rPr>
          <w:rFonts w:eastAsia="MS Mincho"/>
          <w:color w:val="000000" w:themeColor="text1"/>
          <w:lang w:val="en-NZ" w:eastAsia="ja-JP"/>
        </w:rPr>
      </w:pPr>
      <w:r w:rsidRPr="002037F7">
        <w:rPr>
          <w:color w:val="000000" w:themeColor="text1"/>
          <w:lang w:val="en-NZ"/>
        </w:rPr>
        <w:t>The Republic of Korea proposes modifications to the APT Preliminary View adopted at the APG19-2, as stated below:</w:t>
      </w:r>
    </w:p>
    <w:p w14:paraId="712D3A37" w14:textId="77777777" w:rsidR="001D1419" w:rsidRPr="001D1419" w:rsidRDefault="001D1419" w:rsidP="001D1419">
      <w:pPr>
        <w:ind w:left="-80"/>
        <w:rPr>
          <w:rFonts w:eastAsia="MS Mincho"/>
          <w:lang w:val="en-NZ" w:eastAsia="ja-JP"/>
        </w:rPr>
      </w:pPr>
      <w:r w:rsidRPr="001D1419">
        <w:rPr>
          <w:rFonts w:eastAsia="MS Mincho"/>
          <w:lang w:val="en-NZ" w:eastAsia="ja-JP"/>
        </w:rPr>
        <w:lastRenderedPageBreak/>
        <w:t xml:space="preserve">APT Members support the ITU-R studies undertaken in accordance with Resolution </w:t>
      </w:r>
      <w:r w:rsidRPr="001D1419">
        <w:rPr>
          <w:rFonts w:eastAsia="MS Mincho"/>
          <w:b/>
          <w:lang w:val="en-NZ" w:eastAsia="ja-JP"/>
        </w:rPr>
        <w:t>360 (Rev. WRC-15)</w:t>
      </w:r>
      <w:r w:rsidRPr="001D1419">
        <w:rPr>
          <w:rFonts w:eastAsia="MS Mincho"/>
          <w:lang w:val="en-NZ" w:eastAsia="ja-JP"/>
        </w:rPr>
        <w:t xml:space="preserve"> to identify possible new allocations to the maritime mobile-satellite service for VDES satellite component.</w:t>
      </w:r>
    </w:p>
    <w:p w14:paraId="6F1F3A87" w14:textId="77777777" w:rsidR="001D1419" w:rsidRPr="001D1419" w:rsidRDefault="001D1419" w:rsidP="001D1419">
      <w:pPr>
        <w:ind w:left="-80"/>
        <w:rPr>
          <w:lang w:val="en-NZ"/>
        </w:rPr>
      </w:pPr>
    </w:p>
    <w:p w14:paraId="1C153246" w14:textId="77777777" w:rsidR="001D1419" w:rsidRPr="001D1419" w:rsidRDefault="001D1419" w:rsidP="001D1419">
      <w:pPr>
        <w:ind w:left="-80"/>
        <w:rPr>
          <w:lang w:val="en-NZ"/>
        </w:rPr>
      </w:pPr>
      <w:r w:rsidRPr="001D1419">
        <w:rPr>
          <w:lang w:val="en-NZ"/>
        </w:rPr>
        <w:t>In regard</w:t>
      </w:r>
      <w:r w:rsidRPr="001D1419">
        <w:rPr>
          <w:rFonts w:eastAsia="MS Mincho"/>
          <w:lang w:val="en-NZ" w:eastAsia="ja-JP"/>
        </w:rPr>
        <w:t>s to</w:t>
      </w:r>
      <w:r w:rsidRPr="001D1419">
        <w:rPr>
          <w:lang w:val="en-NZ"/>
        </w:rPr>
        <w:t xml:space="preserve"> the possible modification of the Radio Regulations under WRC-19 Agenda Item 1.9.2, APT Members are of the view that:</w:t>
      </w:r>
    </w:p>
    <w:p w14:paraId="74366A30" w14:textId="145AD03E" w:rsidR="001D1419" w:rsidRPr="001D1419" w:rsidRDefault="001D1419" w:rsidP="001D1419">
      <w:pPr>
        <w:pStyle w:val="ListParagraph"/>
        <w:ind w:left="426" w:hanging="425"/>
        <w:jc w:val="both"/>
        <w:rPr>
          <w:lang w:val="en-NZ"/>
        </w:rPr>
      </w:pPr>
      <w:r w:rsidRPr="001D1419">
        <w:rPr>
          <w:lang w:val="en-NZ"/>
        </w:rPr>
        <w:t>-</w:t>
      </w:r>
      <w:r w:rsidRPr="001D1419">
        <w:rPr>
          <w:lang w:val="en-NZ"/>
        </w:rPr>
        <w:tab/>
        <w:t>Existing allocations and systems in the same and adjacent bands, especially the AIS, must be protected from harmful interference or any constraints, which include but are not limited to, any modification requested to existing AIS equipment;</w:t>
      </w:r>
    </w:p>
    <w:p w14:paraId="6694AD92" w14:textId="77777777" w:rsidR="001D1419" w:rsidRPr="001D1419" w:rsidRDefault="001D1419" w:rsidP="001D1419">
      <w:pPr>
        <w:pStyle w:val="ListParagraph"/>
        <w:ind w:left="426" w:hanging="425"/>
        <w:jc w:val="both"/>
        <w:rPr>
          <w:lang w:val="en-NZ"/>
        </w:rPr>
      </w:pPr>
      <w:r w:rsidRPr="001D1419">
        <w:rPr>
          <w:lang w:val="en-NZ"/>
        </w:rPr>
        <w:t>-</w:t>
      </w:r>
      <w:r w:rsidRPr="001D1419">
        <w:rPr>
          <w:lang w:val="en-NZ"/>
        </w:rPr>
        <w:tab/>
        <w:t>Search and rescue aircraft system operating in maritime frequencies must be protected;</w:t>
      </w:r>
    </w:p>
    <w:p w14:paraId="70D396DF" w14:textId="77777777" w:rsidR="001D1419" w:rsidRPr="001D1419" w:rsidRDefault="001D1419" w:rsidP="001D1419">
      <w:pPr>
        <w:pStyle w:val="ListParagraph"/>
        <w:ind w:left="426" w:hanging="425"/>
        <w:jc w:val="both"/>
        <w:rPr>
          <w:lang w:val="en-NZ"/>
        </w:rPr>
      </w:pPr>
      <w:r w:rsidRPr="001D1419">
        <w:rPr>
          <w:lang w:val="en-NZ"/>
        </w:rPr>
        <w:t>-</w:t>
      </w:r>
      <w:r w:rsidRPr="001D1419">
        <w:rPr>
          <w:lang w:val="en-NZ"/>
        </w:rPr>
        <w:tab/>
        <w:t>VDES satellite components downlink transmission should not degrade the terrestrial VDES components, ASM and AIS operations;</w:t>
      </w:r>
    </w:p>
    <w:p w14:paraId="004FEB3E" w14:textId="77777777" w:rsidR="001D1419" w:rsidRPr="001D1419" w:rsidRDefault="001D1419" w:rsidP="001D1419">
      <w:pPr>
        <w:pStyle w:val="ListParagraph"/>
        <w:ind w:left="426" w:hanging="425"/>
        <w:jc w:val="both"/>
        <w:rPr>
          <w:lang w:val="en-NZ"/>
        </w:rPr>
      </w:pPr>
      <w:r w:rsidRPr="001D1419">
        <w:rPr>
          <w:lang w:val="en-NZ"/>
        </w:rPr>
        <w:t>-</w:t>
      </w:r>
      <w:r w:rsidRPr="001D1419">
        <w:rPr>
          <w:lang w:val="en-NZ"/>
        </w:rPr>
        <w:tab/>
        <w:t>VDES satellite components should not claim protection from harmful interference caused by stations of a land mobile service to which frequencies are already assigned; and</w:t>
      </w:r>
    </w:p>
    <w:p w14:paraId="15005150" w14:textId="77777777" w:rsidR="001D1419" w:rsidRPr="001D1419" w:rsidRDefault="001D1419" w:rsidP="001D1419">
      <w:pPr>
        <w:pStyle w:val="ListParagraph"/>
        <w:ind w:left="426" w:hanging="425"/>
        <w:jc w:val="both"/>
        <w:rPr>
          <w:lang w:val="en-NZ"/>
        </w:rPr>
      </w:pPr>
      <w:r w:rsidRPr="001D1419">
        <w:rPr>
          <w:lang w:val="en-NZ"/>
        </w:rPr>
        <w:t>-</w:t>
      </w:r>
      <w:r w:rsidRPr="001D1419">
        <w:rPr>
          <w:lang w:val="en-NZ"/>
        </w:rPr>
        <w:tab/>
        <w:t>If the spectrum needs were appropriately justified, new spectrum allocations could be identified to the maritime mobile-satellite service (MMSS) (Earth-to-space and space-to-Earth) with the provisions ensuring not to cause harmful interference and no claim of protection from incumbent service on a primary basis in the same and adjacent frequency bands.</w:t>
      </w:r>
    </w:p>
    <w:p w14:paraId="1F4B0140" w14:textId="77777777" w:rsidR="002A0111" w:rsidRPr="00441526" w:rsidRDefault="002A0111" w:rsidP="003D3D47">
      <w:pPr>
        <w:jc w:val="both"/>
        <w:rPr>
          <w:lang w:val="en-NZ"/>
        </w:rPr>
      </w:pPr>
    </w:p>
    <w:p w14:paraId="1B7BB750" w14:textId="116220C3"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1D1419" w:rsidRPr="001D1419">
        <w:rPr>
          <w:b/>
          <w:lang w:val="en-NZ" w:eastAsia="ko-KR"/>
        </w:rPr>
        <w:t>Iran (Islamic Republic of)</w:t>
      </w:r>
      <w:r w:rsidRPr="00441526">
        <w:rPr>
          <w:b/>
          <w:lang w:val="en-NZ" w:eastAsia="ko-KR"/>
        </w:rPr>
        <w:t xml:space="preserve"> </w:t>
      </w:r>
      <w:r w:rsidRPr="00441526">
        <w:t xml:space="preserve">- </w:t>
      </w:r>
      <w:r w:rsidR="002757E9">
        <w:rPr>
          <w:b/>
          <w:lang w:val="en-NZ" w:eastAsia="ko-KR"/>
        </w:rPr>
        <w:t>Document APG19-3/INP-32</w:t>
      </w:r>
    </w:p>
    <w:p w14:paraId="1CF206FE" w14:textId="77777777" w:rsidR="001D1419" w:rsidRPr="001D1419" w:rsidRDefault="001D1419" w:rsidP="001D1419">
      <w:pPr>
        <w:jc w:val="both"/>
        <w:rPr>
          <w:lang w:val="en-NZ"/>
        </w:rPr>
      </w:pPr>
      <w:r w:rsidRPr="001D1419">
        <w:rPr>
          <w:lang w:val="en-NZ"/>
        </w:rPr>
        <w:t xml:space="preserve">I.R. of Iran supports sharing and compatibility studies between the proposed VDES satellite component and the systems in the radiocommunication services allocated in the same and in adjacent frequency bands. </w:t>
      </w:r>
    </w:p>
    <w:p w14:paraId="0C0311E6" w14:textId="77777777" w:rsidR="001D1419" w:rsidRPr="001D1419" w:rsidRDefault="001D1419" w:rsidP="001D1419">
      <w:pPr>
        <w:jc w:val="both"/>
        <w:rPr>
          <w:rtl/>
        </w:rPr>
      </w:pPr>
      <w:r w:rsidRPr="001D1419">
        <w:rPr>
          <w:lang w:val="en-NZ"/>
        </w:rPr>
        <w:t>I.R. of Iran is</w:t>
      </w:r>
      <w:r w:rsidRPr="001D1419">
        <w:rPr>
          <w:rFonts w:hint="eastAsia"/>
          <w:lang w:val="en-NZ"/>
        </w:rPr>
        <w:t xml:space="preserve"> also</w:t>
      </w:r>
      <w:r w:rsidRPr="001D1419">
        <w:rPr>
          <w:lang w:val="en-NZ"/>
        </w:rPr>
        <w:t xml:space="preserve"> </w:t>
      </w:r>
      <w:r w:rsidRPr="001D1419">
        <w:rPr>
          <w:rFonts w:hint="eastAsia"/>
          <w:lang w:val="en-NZ"/>
        </w:rPr>
        <w:t>of the view that:</w:t>
      </w:r>
    </w:p>
    <w:p w14:paraId="6CD24CF0" w14:textId="77777777" w:rsidR="001D1419" w:rsidRPr="001D1419" w:rsidRDefault="001D1419" w:rsidP="001A1238">
      <w:pPr>
        <w:pStyle w:val="ListParagraph"/>
        <w:numPr>
          <w:ilvl w:val="0"/>
          <w:numId w:val="18"/>
        </w:numPr>
        <w:ind w:left="709" w:hanging="420"/>
        <w:jc w:val="both"/>
        <w:rPr>
          <w:rFonts w:eastAsiaTheme="minorEastAsia"/>
          <w:lang w:val="en-NZ" w:eastAsia="zh-CN"/>
        </w:rPr>
      </w:pPr>
      <w:r w:rsidRPr="001D1419">
        <w:rPr>
          <w:rFonts w:eastAsiaTheme="minorEastAsia"/>
          <w:lang w:val="en-NZ" w:eastAsia="zh-CN"/>
        </w:rPr>
        <w:t>existing allocations and systems in the same and adjacent bands, especially the AIS, must be protected from harmful interference or any constraints, which include but are not limited to, any modification requested to existing AIS equipment;</w:t>
      </w:r>
    </w:p>
    <w:p w14:paraId="5ADE8FB8" w14:textId="77777777" w:rsidR="001D1419" w:rsidRPr="001D1419" w:rsidRDefault="001D1419" w:rsidP="001A1238">
      <w:pPr>
        <w:pStyle w:val="ListParagraph"/>
        <w:numPr>
          <w:ilvl w:val="0"/>
          <w:numId w:val="18"/>
        </w:numPr>
        <w:ind w:left="709" w:hanging="420"/>
        <w:jc w:val="both"/>
        <w:rPr>
          <w:rFonts w:eastAsiaTheme="minorEastAsia"/>
          <w:lang w:val="en-NZ" w:eastAsia="zh-CN"/>
        </w:rPr>
      </w:pPr>
      <w:r w:rsidRPr="001D1419">
        <w:rPr>
          <w:rFonts w:eastAsiaTheme="minorEastAsia"/>
          <w:lang w:val="en-NZ" w:eastAsia="zh-CN"/>
        </w:rPr>
        <w:t>search and rescue aircraft system operating in maritime frequencies must be protected;</w:t>
      </w:r>
    </w:p>
    <w:p w14:paraId="273C5B7D" w14:textId="77777777" w:rsidR="001D1419" w:rsidRPr="001D1419" w:rsidRDefault="001D1419" w:rsidP="001A1238">
      <w:pPr>
        <w:pStyle w:val="ListParagraph"/>
        <w:numPr>
          <w:ilvl w:val="0"/>
          <w:numId w:val="18"/>
        </w:numPr>
        <w:ind w:left="709" w:hanging="420"/>
        <w:jc w:val="both"/>
        <w:rPr>
          <w:rFonts w:eastAsiaTheme="minorEastAsia"/>
          <w:lang w:val="en-NZ" w:eastAsia="zh-CN"/>
        </w:rPr>
      </w:pPr>
      <w:r w:rsidRPr="001D1419">
        <w:rPr>
          <w:rFonts w:eastAsiaTheme="minorEastAsia"/>
          <w:lang w:val="en-NZ" w:eastAsia="zh-CN"/>
        </w:rPr>
        <w:t>VDES satellite components downlink transmission should not degrade the terrestrial VDES components, ASM and AIS operations;</w:t>
      </w:r>
    </w:p>
    <w:p w14:paraId="518E957D" w14:textId="77777777" w:rsidR="001D1419" w:rsidRPr="001D1419" w:rsidRDefault="001D1419" w:rsidP="001A1238">
      <w:pPr>
        <w:pStyle w:val="ListParagraph"/>
        <w:numPr>
          <w:ilvl w:val="0"/>
          <w:numId w:val="18"/>
        </w:numPr>
        <w:ind w:left="709" w:hanging="420"/>
        <w:jc w:val="both"/>
        <w:rPr>
          <w:rFonts w:eastAsiaTheme="minorEastAsia"/>
          <w:lang w:val="en-NZ" w:eastAsia="zh-CN"/>
        </w:rPr>
      </w:pPr>
      <w:r w:rsidRPr="001D1419">
        <w:rPr>
          <w:rFonts w:eastAsiaTheme="minorEastAsia"/>
          <w:lang w:val="en-NZ" w:eastAsia="zh-CN"/>
        </w:rPr>
        <w:t>VDES satellite components should not claim protection from harmful interference caused by stations of a land mobile service to which frequencies are already assigned; and</w:t>
      </w:r>
    </w:p>
    <w:p w14:paraId="6609B666" w14:textId="77777777" w:rsidR="001D1419" w:rsidRPr="001D1419" w:rsidRDefault="001D1419" w:rsidP="001A1238">
      <w:pPr>
        <w:pStyle w:val="ListParagraph"/>
        <w:numPr>
          <w:ilvl w:val="0"/>
          <w:numId w:val="18"/>
        </w:numPr>
        <w:ind w:left="709" w:hanging="420"/>
        <w:jc w:val="both"/>
        <w:rPr>
          <w:rFonts w:eastAsiaTheme="minorEastAsia"/>
          <w:lang w:val="en-NZ" w:eastAsia="zh-CN"/>
        </w:rPr>
      </w:pPr>
      <w:r w:rsidRPr="001D1419">
        <w:rPr>
          <w:rFonts w:eastAsiaTheme="minorEastAsia"/>
          <w:lang w:val="en-NZ" w:eastAsia="zh-CN"/>
        </w:rPr>
        <w:t>if the spectrum needs were appropriately justified, new spectrum allocations could be identified to the maritime mobile-satellite service (MMSS) (Earth-to-space and space-to-Earth) with the provisions ensuring not to cause harmful interference and no claim of protection from incumbent service on a primary basis in the same and adjacent frequency bands.</w:t>
      </w:r>
    </w:p>
    <w:p w14:paraId="1DA746AA" w14:textId="77777777" w:rsidR="001D1419" w:rsidRPr="001D1419" w:rsidRDefault="001D1419" w:rsidP="001A1238">
      <w:pPr>
        <w:pStyle w:val="ListParagraph"/>
        <w:numPr>
          <w:ilvl w:val="0"/>
          <w:numId w:val="18"/>
        </w:numPr>
        <w:ind w:left="709" w:hanging="420"/>
        <w:jc w:val="both"/>
        <w:rPr>
          <w:rFonts w:eastAsiaTheme="minorEastAsia"/>
          <w:lang w:val="en-NZ" w:eastAsia="zh-CN"/>
        </w:rPr>
      </w:pPr>
      <w:proofErr w:type="gramStart"/>
      <w:r w:rsidRPr="001D1419">
        <w:rPr>
          <w:rFonts w:eastAsiaTheme="minorEastAsia"/>
          <w:lang w:val="en-NZ" w:eastAsia="zh-CN"/>
        </w:rPr>
        <w:t>if</w:t>
      </w:r>
      <w:proofErr w:type="gramEnd"/>
      <w:r w:rsidRPr="001D1419">
        <w:rPr>
          <w:rFonts w:eastAsiaTheme="minorEastAsia"/>
          <w:lang w:val="en-NZ" w:eastAsia="zh-CN"/>
        </w:rPr>
        <w:t xml:space="preserve"> studies show difficulties of sharing VDES satellite component uplink and downlink with the systems in the land mobile service, no changes in the Radio Regulations will be proposed to satisfy the agenda item.</w:t>
      </w:r>
      <w:r w:rsidRPr="001D1419">
        <w:rPr>
          <w:rFonts w:eastAsiaTheme="minorEastAsia" w:hint="cs"/>
          <w:rtl/>
          <w:lang w:val="en-NZ" w:eastAsia="zh-CN"/>
        </w:rPr>
        <w:t xml:space="preserve"> </w:t>
      </w:r>
      <w:r w:rsidRPr="001D1419">
        <w:rPr>
          <w:rFonts w:eastAsiaTheme="minorEastAsia"/>
          <w:lang w:val="en-NZ" w:eastAsia="zh-CN"/>
        </w:rPr>
        <w:t xml:space="preserve">In this case, using the current allocations for enabling VDES satellite component could be considered. </w:t>
      </w:r>
    </w:p>
    <w:p w14:paraId="13BB992D" w14:textId="626BC9B8" w:rsidR="002A0111" w:rsidRPr="00441526" w:rsidRDefault="002A0111" w:rsidP="003D3D47">
      <w:pPr>
        <w:jc w:val="both"/>
        <w:rPr>
          <w:lang w:val="en-NZ"/>
        </w:rPr>
      </w:pPr>
    </w:p>
    <w:p w14:paraId="1EEFFC7C" w14:textId="5442A3C7" w:rsidR="002A0111" w:rsidRPr="00441526" w:rsidRDefault="002A0111" w:rsidP="003D3D47">
      <w:pPr>
        <w:spacing w:after="120"/>
        <w:jc w:val="both"/>
        <w:rPr>
          <w:b/>
          <w:lang w:val="en-NZ" w:eastAsia="ko-KR"/>
        </w:rPr>
      </w:pPr>
      <w:r w:rsidRPr="00441526">
        <w:rPr>
          <w:b/>
          <w:lang w:val="en-NZ" w:eastAsia="ko-KR"/>
        </w:rPr>
        <w:t>3.1.</w:t>
      </w:r>
      <w:r w:rsidR="002757E9">
        <w:rPr>
          <w:b/>
          <w:lang w:val="en-NZ" w:eastAsia="ko-KR"/>
        </w:rPr>
        <w:t>3</w:t>
      </w:r>
      <w:r w:rsidRPr="00441526">
        <w:rPr>
          <w:b/>
          <w:lang w:val="en-NZ" w:eastAsia="ko-KR"/>
        </w:rPr>
        <w:tab/>
      </w:r>
      <w:r w:rsidR="00C04B39" w:rsidRPr="00C04B39">
        <w:rPr>
          <w:b/>
          <w:lang w:val="en-NZ" w:eastAsia="ko-KR"/>
        </w:rPr>
        <w:t>New Zealand</w:t>
      </w:r>
      <w:r w:rsidRPr="00441526">
        <w:rPr>
          <w:b/>
          <w:lang w:val="en-NZ" w:eastAsia="ko-KR"/>
        </w:rPr>
        <w:t xml:space="preserve"> </w:t>
      </w:r>
      <w:r w:rsidRPr="00441526">
        <w:t xml:space="preserve">- </w:t>
      </w:r>
      <w:r w:rsidR="00C04B39">
        <w:rPr>
          <w:b/>
          <w:lang w:val="en-NZ" w:eastAsia="ko-KR"/>
        </w:rPr>
        <w:t>Document APG19-3/INP-38</w:t>
      </w:r>
    </w:p>
    <w:p w14:paraId="6037987F" w14:textId="77777777" w:rsidR="008A6272" w:rsidRPr="008A6272" w:rsidRDefault="008A6272" w:rsidP="008A6272">
      <w:pPr>
        <w:jc w:val="both"/>
        <w:rPr>
          <w:lang w:val="en-NZ"/>
        </w:rPr>
      </w:pPr>
      <w:r w:rsidRPr="008A6272">
        <w:rPr>
          <w:lang w:val="en-NZ"/>
        </w:rPr>
        <w:t xml:space="preserve">New Zealand supports the studies undertaken in accordance with Resolution </w:t>
      </w:r>
      <w:r w:rsidRPr="00997DDD">
        <w:rPr>
          <w:b/>
          <w:lang w:val="en-NZ"/>
        </w:rPr>
        <w:t>360 (Rev. WRC-15)</w:t>
      </w:r>
      <w:r w:rsidRPr="008A6272">
        <w:rPr>
          <w:lang w:val="en-NZ"/>
        </w:rPr>
        <w:t xml:space="preserve"> to identify possible new allocations to the maritime mobile-satellite service for VDES satellite component. </w:t>
      </w:r>
    </w:p>
    <w:p w14:paraId="4FE21AE0" w14:textId="77777777" w:rsidR="008A6272" w:rsidRPr="008A6272" w:rsidRDefault="008A6272" w:rsidP="008A6272">
      <w:pPr>
        <w:jc w:val="both"/>
        <w:rPr>
          <w:lang w:val="en-NZ"/>
        </w:rPr>
      </w:pPr>
    </w:p>
    <w:p w14:paraId="19CB9AA2" w14:textId="55C7ACC2" w:rsidR="002A0111" w:rsidRDefault="008A6272" w:rsidP="008A6272">
      <w:pPr>
        <w:jc w:val="both"/>
        <w:rPr>
          <w:lang w:val="en-NZ"/>
        </w:rPr>
      </w:pPr>
      <w:r w:rsidRPr="008A6272">
        <w:rPr>
          <w:lang w:val="en-NZ"/>
        </w:rPr>
        <w:lastRenderedPageBreak/>
        <w:t xml:space="preserve">New Zealand is of the view that the candidate band for this possible new allocation to the maritime mobile-satellite service should be within the existing frequency range already assigned to VHF maritime mobile channels in accordance with RR Appendix </w:t>
      </w:r>
      <w:r w:rsidRPr="00997DDD">
        <w:rPr>
          <w:b/>
          <w:lang w:val="en-NZ"/>
        </w:rPr>
        <w:t>18</w:t>
      </w:r>
      <w:r w:rsidRPr="008A6272">
        <w:rPr>
          <w:lang w:val="en-NZ"/>
        </w:rPr>
        <w:t xml:space="preserve">. If a candidate band to be considered is outside of, or immediately adjacent to, the frequency range of RR Appendix </w:t>
      </w:r>
      <w:r w:rsidRPr="00D34652">
        <w:rPr>
          <w:b/>
          <w:lang w:val="en-NZ"/>
        </w:rPr>
        <w:t>18</w:t>
      </w:r>
      <w:r w:rsidRPr="008A6272">
        <w:rPr>
          <w:lang w:val="en-NZ"/>
        </w:rPr>
        <w:t>, this consideration should be carefully studied due to the heavy use of these adjacent frequency ranges by existing terrestrial services.</w:t>
      </w:r>
    </w:p>
    <w:p w14:paraId="683B6218" w14:textId="77777777" w:rsidR="008A6272" w:rsidRPr="00441526" w:rsidRDefault="008A6272" w:rsidP="008A6272">
      <w:pPr>
        <w:jc w:val="both"/>
        <w:rPr>
          <w:lang w:val="en-NZ"/>
        </w:rPr>
      </w:pPr>
    </w:p>
    <w:p w14:paraId="320069D1" w14:textId="112B0C24" w:rsidR="002757E9" w:rsidRPr="00441526" w:rsidRDefault="002757E9" w:rsidP="002757E9">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AC0047" w:rsidRPr="00AC0047">
        <w:rPr>
          <w:b/>
          <w:lang w:val="en-NZ" w:eastAsia="ko-KR"/>
        </w:rPr>
        <w:t>Australia</w:t>
      </w:r>
      <w:r w:rsidRPr="00441526">
        <w:rPr>
          <w:b/>
          <w:lang w:val="en-NZ" w:eastAsia="ko-KR"/>
        </w:rPr>
        <w:t xml:space="preserve"> </w:t>
      </w:r>
      <w:r w:rsidRPr="00441526">
        <w:t xml:space="preserve">- </w:t>
      </w:r>
      <w:r w:rsidR="00AC0047">
        <w:rPr>
          <w:b/>
          <w:lang w:val="en-NZ" w:eastAsia="ko-KR"/>
        </w:rPr>
        <w:t>Document APG19-3/INP-45</w:t>
      </w:r>
    </w:p>
    <w:p w14:paraId="1DAEBB50" w14:textId="5D9E5AC9" w:rsidR="00AC0047" w:rsidRDefault="00AC0047" w:rsidP="00AC0047">
      <w:pPr>
        <w:jc w:val="both"/>
        <w:rPr>
          <w:lang w:val="en-NZ"/>
        </w:rPr>
      </w:pPr>
      <w:r w:rsidRPr="00AC0047">
        <w:rPr>
          <w:lang w:val="en-NZ"/>
        </w:rPr>
        <w:t xml:space="preserve">Australia supports facilitating the introduction of a new VHF data exchange system (VDES) satellite component consistent with Resolution </w:t>
      </w:r>
      <w:r w:rsidRPr="00D34652">
        <w:rPr>
          <w:b/>
          <w:lang w:val="en-NZ"/>
        </w:rPr>
        <w:t>360 (Rev.WRC-15)</w:t>
      </w:r>
      <w:r w:rsidRPr="00AC0047">
        <w:rPr>
          <w:lang w:val="en-NZ"/>
        </w:rPr>
        <w:t>.</w:t>
      </w:r>
    </w:p>
    <w:p w14:paraId="1F0DBB32" w14:textId="77777777" w:rsidR="00AC0047" w:rsidRPr="00AC0047" w:rsidRDefault="00AC0047" w:rsidP="00AC0047">
      <w:pPr>
        <w:jc w:val="both"/>
        <w:rPr>
          <w:lang w:val="en-NZ"/>
        </w:rPr>
      </w:pPr>
    </w:p>
    <w:p w14:paraId="6C13C78B" w14:textId="6C04EDB4" w:rsidR="002757E9" w:rsidRDefault="00AC0047" w:rsidP="00AC0047">
      <w:pPr>
        <w:jc w:val="both"/>
        <w:rPr>
          <w:lang w:val="en-NZ"/>
        </w:rPr>
      </w:pPr>
      <w:r w:rsidRPr="00AC0047">
        <w:rPr>
          <w:lang w:val="en-NZ"/>
        </w:rPr>
        <w:t>Any new allocation for the satellite component of VDES should coexist and be compatible with the systems in the radiocommunication services allocated in the same and adjacent frequency bands without imposing any additional constraints on those services.</w:t>
      </w:r>
    </w:p>
    <w:p w14:paraId="141FFF44" w14:textId="77777777" w:rsidR="00AC0047" w:rsidRPr="00441526" w:rsidRDefault="00AC0047" w:rsidP="00AC0047">
      <w:pPr>
        <w:jc w:val="both"/>
        <w:rPr>
          <w:lang w:val="en-NZ"/>
        </w:rPr>
      </w:pPr>
    </w:p>
    <w:p w14:paraId="1E35CAD7" w14:textId="0A96A250" w:rsidR="002757E9" w:rsidRPr="00441526" w:rsidRDefault="002757E9" w:rsidP="002757E9">
      <w:pPr>
        <w:spacing w:after="120"/>
        <w:jc w:val="both"/>
        <w:rPr>
          <w:b/>
          <w:lang w:val="en-NZ" w:eastAsia="ko-KR"/>
        </w:rPr>
      </w:pPr>
      <w:r w:rsidRPr="00441526">
        <w:rPr>
          <w:b/>
          <w:lang w:val="en-NZ" w:eastAsia="ko-KR"/>
        </w:rPr>
        <w:t>3.1.</w:t>
      </w:r>
      <w:r>
        <w:rPr>
          <w:b/>
          <w:lang w:val="en-NZ" w:eastAsia="ko-KR"/>
        </w:rPr>
        <w:t>5</w:t>
      </w:r>
      <w:r w:rsidR="004022A8">
        <w:rPr>
          <w:b/>
          <w:lang w:val="en-NZ" w:eastAsia="ko-KR"/>
        </w:rPr>
        <w:tab/>
      </w:r>
      <w:r w:rsidR="004022A8" w:rsidRPr="004022A8">
        <w:rPr>
          <w:b/>
          <w:lang w:val="en-NZ" w:eastAsia="ko-KR"/>
        </w:rPr>
        <w:t>Japan</w:t>
      </w:r>
      <w:r w:rsidRPr="00441526">
        <w:rPr>
          <w:b/>
          <w:lang w:val="en-NZ" w:eastAsia="ko-KR"/>
        </w:rPr>
        <w:t xml:space="preserve"> </w:t>
      </w:r>
      <w:r w:rsidRPr="00441526">
        <w:t xml:space="preserve">- </w:t>
      </w:r>
      <w:r w:rsidR="004022A8">
        <w:rPr>
          <w:b/>
          <w:lang w:val="en-NZ" w:eastAsia="ko-KR"/>
        </w:rPr>
        <w:t>Document APG19-3/INP-53</w:t>
      </w:r>
    </w:p>
    <w:p w14:paraId="4E79C7D6" w14:textId="541A7CDE" w:rsidR="002757E9" w:rsidRDefault="004022A8" w:rsidP="002757E9">
      <w:pPr>
        <w:jc w:val="both"/>
        <w:rPr>
          <w:lang w:val="en-NZ"/>
        </w:rPr>
      </w:pPr>
      <w:r w:rsidRPr="004022A8">
        <w:rPr>
          <w:lang w:val="en-NZ"/>
        </w:rPr>
        <w:t xml:space="preserve">Japan is of the view that only the frequencies in RR Appendix </w:t>
      </w:r>
      <w:r w:rsidRPr="00997DDD">
        <w:rPr>
          <w:b/>
          <w:lang w:val="en-NZ"/>
        </w:rPr>
        <w:t>18</w:t>
      </w:r>
      <w:r w:rsidRPr="004022A8">
        <w:rPr>
          <w:lang w:val="en-NZ"/>
        </w:rPr>
        <w:t xml:space="preserve"> should be considered for the satellite component of the VDES. The frequencies, considered in ITU-R, not in RR Appendix </w:t>
      </w:r>
      <w:r w:rsidRPr="00997DDD">
        <w:rPr>
          <w:b/>
          <w:lang w:val="en-NZ"/>
        </w:rPr>
        <w:t>18</w:t>
      </w:r>
      <w:r w:rsidRPr="004022A8">
        <w:rPr>
          <w:lang w:val="en-NZ"/>
        </w:rPr>
        <w:t xml:space="preserve"> are used for terrestrial services other than maritime mobile service, and existing stations in these services need to be protected. Therefore, Japan supports Method C in the methods currently raised to allocate VDES satellite component frequencies at the WP5B, in the view that the satellite component of the VDES in the frequency bands should be channelized in RR Appendix </w:t>
      </w:r>
      <w:r w:rsidRPr="00997DDD">
        <w:rPr>
          <w:b/>
          <w:lang w:val="en-NZ"/>
        </w:rPr>
        <w:t>18</w:t>
      </w:r>
      <w:r w:rsidRPr="004022A8">
        <w:rPr>
          <w:lang w:val="en-NZ"/>
        </w:rPr>
        <w:t>.</w:t>
      </w:r>
    </w:p>
    <w:p w14:paraId="17352C97" w14:textId="77777777" w:rsidR="004022A8" w:rsidRPr="00441526" w:rsidRDefault="004022A8" w:rsidP="002757E9">
      <w:pPr>
        <w:jc w:val="both"/>
        <w:rPr>
          <w:lang w:val="en-NZ"/>
        </w:rPr>
      </w:pPr>
    </w:p>
    <w:p w14:paraId="5BB6799C" w14:textId="13CDF0C3" w:rsidR="002757E9" w:rsidRPr="00441526" w:rsidRDefault="002757E9" w:rsidP="002757E9">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sidR="00AD5B04" w:rsidRPr="00AD5B04">
        <w:rPr>
          <w:b/>
          <w:lang w:val="en-NZ" w:eastAsia="ko-KR"/>
        </w:rPr>
        <w:t>Thailand</w:t>
      </w:r>
      <w:r w:rsidRPr="00441526">
        <w:rPr>
          <w:b/>
          <w:lang w:val="en-NZ" w:eastAsia="ko-KR"/>
        </w:rPr>
        <w:t xml:space="preserve"> </w:t>
      </w:r>
      <w:r w:rsidRPr="00441526">
        <w:t xml:space="preserve">- </w:t>
      </w:r>
      <w:r w:rsidR="00AD5B04">
        <w:rPr>
          <w:b/>
          <w:lang w:val="en-NZ" w:eastAsia="ko-KR"/>
        </w:rPr>
        <w:t>Document APG19-3/INP-63</w:t>
      </w:r>
    </w:p>
    <w:p w14:paraId="5A56F10D" w14:textId="73B0D462" w:rsidR="002757E9" w:rsidRDefault="007E4BAB" w:rsidP="002757E9">
      <w:pPr>
        <w:jc w:val="both"/>
        <w:rPr>
          <w:lang w:val="en-NZ"/>
        </w:rPr>
      </w:pPr>
      <w:bookmarkStart w:id="2" w:name="_Hlk508720189"/>
      <w:r w:rsidRPr="007E4BAB">
        <w:rPr>
          <w:lang w:val="en-NZ"/>
        </w:rPr>
        <w:t xml:space="preserve">Thailand supports modification of the Radio Regulations to add a new primary allocation to the maritime mobile-satellite service (Earth-to-space) in the frequency band 157.1875-157.3375 MHz and to the maritime mobile-satellite service (space-to-Earth) in the frequency band 161.7875-161.9375 </w:t>
      </w:r>
      <w:proofErr w:type="spellStart"/>
      <w:r w:rsidRPr="007E4BAB">
        <w:rPr>
          <w:lang w:val="en-NZ"/>
        </w:rPr>
        <w:t>MHz.</w:t>
      </w:r>
      <w:proofErr w:type="spellEnd"/>
    </w:p>
    <w:bookmarkEnd w:id="2"/>
    <w:p w14:paraId="61D0AB8F" w14:textId="77777777" w:rsidR="007E4BAB" w:rsidRPr="00441526" w:rsidRDefault="007E4BAB" w:rsidP="002757E9">
      <w:pPr>
        <w:jc w:val="both"/>
        <w:rPr>
          <w:lang w:val="en-NZ"/>
        </w:rPr>
      </w:pPr>
    </w:p>
    <w:p w14:paraId="6AF39638" w14:textId="4A4A2C14" w:rsidR="002757E9" w:rsidRPr="00441526" w:rsidRDefault="002757E9" w:rsidP="002757E9">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sidR="007E4BAB" w:rsidRPr="007E4BAB">
        <w:rPr>
          <w:b/>
          <w:lang w:val="en-NZ" w:eastAsia="ko-KR"/>
        </w:rPr>
        <w:t>Indonesia, Republic of</w:t>
      </w:r>
      <w:r w:rsidRPr="00441526">
        <w:rPr>
          <w:b/>
          <w:lang w:val="en-NZ" w:eastAsia="ko-KR"/>
        </w:rPr>
        <w:t xml:space="preserve"> </w:t>
      </w:r>
      <w:r w:rsidRPr="00441526">
        <w:t xml:space="preserve">- </w:t>
      </w:r>
      <w:r w:rsidR="007E4BAB">
        <w:rPr>
          <w:b/>
          <w:lang w:val="en-NZ" w:eastAsia="ko-KR"/>
        </w:rPr>
        <w:t>Document APG19-3/INP-80</w:t>
      </w:r>
    </w:p>
    <w:p w14:paraId="5667D5EC" w14:textId="7629F813" w:rsidR="002757E9" w:rsidRDefault="007E4BAB" w:rsidP="002757E9">
      <w:pPr>
        <w:jc w:val="both"/>
        <w:rPr>
          <w:lang w:val="en-NZ"/>
        </w:rPr>
      </w:pPr>
      <w:r w:rsidRPr="007E4BAB">
        <w:rPr>
          <w:lang w:val="en-NZ"/>
        </w:rPr>
        <w:t>Indonesia supports that activities of WP 5B to consider regulatory provisions and spectrum allocations to the maritime mobile-satellite service to enable the satellite component of the VHF Data Exchange System and enhanced maritime radiocommunication. Indonesia also raises a concern that any modifications of VDES components should not impact the existing AIS equipment on-board which is already installed on the vessel.</w:t>
      </w:r>
    </w:p>
    <w:p w14:paraId="431EDA7A" w14:textId="77777777" w:rsidR="007E4BAB" w:rsidRPr="00441526" w:rsidRDefault="007E4BAB" w:rsidP="002757E9">
      <w:pPr>
        <w:jc w:val="both"/>
        <w:rPr>
          <w:lang w:val="en-NZ"/>
        </w:rPr>
      </w:pPr>
    </w:p>
    <w:p w14:paraId="4FD435A9" w14:textId="3ADF7A4C" w:rsidR="002757E9" w:rsidRPr="00441526" w:rsidRDefault="002757E9" w:rsidP="002757E9">
      <w:pPr>
        <w:spacing w:after="120"/>
        <w:jc w:val="both"/>
        <w:rPr>
          <w:b/>
          <w:lang w:val="en-NZ" w:eastAsia="ko-KR"/>
        </w:rPr>
      </w:pPr>
      <w:r w:rsidRPr="00441526">
        <w:rPr>
          <w:b/>
          <w:lang w:val="en-NZ" w:eastAsia="ko-KR"/>
        </w:rPr>
        <w:t>3.1.</w:t>
      </w:r>
      <w:r>
        <w:rPr>
          <w:b/>
          <w:lang w:val="en-NZ" w:eastAsia="ko-KR"/>
        </w:rPr>
        <w:t>8</w:t>
      </w:r>
      <w:r w:rsidR="00AD3503">
        <w:rPr>
          <w:b/>
          <w:lang w:val="en-NZ" w:eastAsia="ko-KR"/>
        </w:rPr>
        <w:tab/>
      </w:r>
      <w:r w:rsidR="00AD3503" w:rsidRPr="00AD3503">
        <w:rPr>
          <w:b/>
          <w:lang w:val="en-NZ" w:eastAsia="ko-KR"/>
        </w:rPr>
        <w:t>Socialist Republic of Viet Nam</w:t>
      </w:r>
      <w:r w:rsidRPr="00441526">
        <w:rPr>
          <w:b/>
          <w:lang w:val="en-NZ" w:eastAsia="ko-KR"/>
        </w:rPr>
        <w:t xml:space="preserve"> </w:t>
      </w:r>
      <w:r w:rsidRPr="00441526">
        <w:t xml:space="preserve">- </w:t>
      </w:r>
      <w:r w:rsidR="00AD3503">
        <w:rPr>
          <w:b/>
          <w:lang w:val="en-NZ" w:eastAsia="ko-KR"/>
        </w:rPr>
        <w:t>Document APG19-3/INP-85</w:t>
      </w:r>
    </w:p>
    <w:p w14:paraId="2FD1C667" w14:textId="77777777" w:rsidR="00AD3503" w:rsidRPr="00AD3503" w:rsidRDefault="00AD3503" w:rsidP="00AD3503">
      <w:pPr>
        <w:jc w:val="both"/>
        <w:rPr>
          <w:lang w:val="en-NZ"/>
        </w:rPr>
      </w:pPr>
      <w:r w:rsidRPr="00AD3503">
        <w:rPr>
          <w:lang w:val="en-NZ"/>
        </w:rPr>
        <w:t xml:space="preserve">Viet Nam Administration supports the activities of ITU-R which are related to the satellite component of VDES.  </w:t>
      </w:r>
    </w:p>
    <w:p w14:paraId="1DB5335D" w14:textId="77777777" w:rsidR="00AD3503" w:rsidRPr="00AD3503" w:rsidRDefault="00AD3503" w:rsidP="00AD3503">
      <w:pPr>
        <w:jc w:val="both"/>
        <w:rPr>
          <w:lang w:val="en-NZ"/>
        </w:rPr>
      </w:pPr>
      <w:r w:rsidRPr="00AD3503">
        <w:rPr>
          <w:lang w:val="en-NZ"/>
        </w:rPr>
        <w:t>In regarding the modification of the Radio Regulations under WRC-19 Agenda Item 1.9.2, this Administration is of the view that:</w:t>
      </w:r>
    </w:p>
    <w:p w14:paraId="4B80375F" w14:textId="77777777" w:rsidR="00AD3503" w:rsidRPr="00AD3503" w:rsidRDefault="00AD3503" w:rsidP="00AD3503">
      <w:pPr>
        <w:pStyle w:val="ListParagraph"/>
        <w:numPr>
          <w:ilvl w:val="0"/>
          <w:numId w:val="18"/>
        </w:numPr>
        <w:ind w:left="768" w:hanging="420"/>
        <w:jc w:val="both"/>
        <w:rPr>
          <w:rFonts w:eastAsiaTheme="minorEastAsia"/>
          <w:lang w:val="en-NZ" w:eastAsia="zh-CN"/>
        </w:rPr>
      </w:pPr>
      <w:r w:rsidRPr="00AD3503">
        <w:rPr>
          <w:rFonts w:eastAsiaTheme="minorEastAsia"/>
          <w:lang w:val="en-NZ" w:eastAsia="zh-CN"/>
        </w:rPr>
        <w:t>Existing allocations and systems in the same and adjacent bands, especially the AIS, must be protected from harmful interference or any constraints, which include but are not limited to, any modification requested to existing AIS equipment;</w:t>
      </w:r>
    </w:p>
    <w:p w14:paraId="10D92762" w14:textId="77777777" w:rsidR="00AD3503" w:rsidRPr="00AD3503" w:rsidRDefault="00AD3503" w:rsidP="00AD3503">
      <w:pPr>
        <w:pStyle w:val="ListParagraph"/>
        <w:numPr>
          <w:ilvl w:val="0"/>
          <w:numId w:val="18"/>
        </w:numPr>
        <w:ind w:left="768" w:hanging="420"/>
        <w:jc w:val="both"/>
        <w:rPr>
          <w:rFonts w:eastAsiaTheme="minorEastAsia"/>
          <w:lang w:val="en-NZ" w:eastAsia="zh-CN"/>
        </w:rPr>
      </w:pPr>
      <w:r w:rsidRPr="00AD3503">
        <w:rPr>
          <w:rFonts w:eastAsiaTheme="minorEastAsia"/>
          <w:lang w:val="en-NZ" w:eastAsia="zh-CN"/>
        </w:rPr>
        <w:t>Search and rescue aircraft system operating in maritime frequencies must be protected;</w:t>
      </w:r>
    </w:p>
    <w:p w14:paraId="75C89558" w14:textId="77777777" w:rsidR="00AD3503" w:rsidRPr="00AD3503" w:rsidRDefault="00AD3503" w:rsidP="00AD3503">
      <w:pPr>
        <w:pStyle w:val="ListParagraph"/>
        <w:numPr>
          <w:ilvl w:val="0"/>
          <w:numId w:val="18"/>
        </w:numPr>
        <w:ind w:left="768" w:hanging="420"/>
        <w:jc w:val="both"/>
        <w:rPr>
          <w:rFonts w:eastAsiaTheme="minorEastAsia"/>
          <w:lang w:val="en-NZ" w:eastAsia="zh-CN"/>
        </w:rPr>
      </w:pPr>
      <w:r w:rsidRPr="00AD3503">
        <w:rPr>
          <w:rFonts w:eastAsiaTheme="minorEastAsia"/>
          <w:lang w:val="en-NZ" w:eastAsia="zh-CN"/>
        </w:rPr>
        <w:t>VDES satellite components downlink transmission should not degrade the terrestrial VDES components, ASM and AIS operations;</w:t>
      </w:r>
    </w:p>
    <w:p w14:paraId="2B163A65" w14:textId="77777777" w:rsidR="00AD3503" w:rsidRPr="00AD3503" w:rsidRDefault="00AD3503" w:rsidP="00AD3503">
      <w:pPr>
        <w:pStyle w:val="ListParagraph"/>
        <w:numPr>
          <w:ilvl w:val="0"/>
          <w:numId w:val="18"/>
        </w:numPr>
        <w:ind w:left="768" w:hanging="420"/>
        <w:jc w:val="both"/>
        <w:rPr>
          <w:rFonts w:eastAsiaTheme="minorEastAsia"/>
          <w:lang w:val="en-NZ" w:eastAsia="zh-CN"/>
        </w:rPr>
      </w:pPr>
      <w:r w:rsidRPr="00AD3503">
        <w:rPr>
          <w:rFonts w:eastAsiaTheme="minorEastAsia"/>
          <w:lang w:val="en-NZ" w:eastAsia="zh-CN"/>
        </w:rPr>
        <w:lastRenderedPageBreak/>
        <w:t>If the spectrum needs were appropriately justified, new spectrum allocations could be identified to the maritime mobile-satellite service (MMSS) (Earth-to-space and space-to-Earth) with the provisions ensuring not to cause harmful interference and no claim of protection from incumbent service on a primary basis in the same and adjacent frequency bands.</w:t>
      </w:r>
    </w:p>
    <w:p w14:paraId="05AE8D7E" w14:textId="77777777" w:rsidR="002757E9" w:rsidRPr="00AD3503" w:rsidRDefault="002757E9" w:rsidP="002757E9">
      <w:pPr>
        <w:jc w:val="both"/>
        <w:rPr>
          <w:lang w:val="en-NZ"/>
        </w:rPr>
      </w:pPr>
    </w:p>
    <w:p w14:paraId="5BC4D145" w14:textId="39408709" w:rsidR="002757E9" w:rsidRPr="00441526" w:rsidRDefault="002757E9" w:rsidP="002757E9">
      <w:pPr>
        <w:spacing w:after="120"/>
        <w:jc w:val="both"/>
        <w:rPr>
          <w:b/>
          <w:lang w:val="en-NZ" w:eastAsia="ko-KR"/>
        </w:rPr>
      </w:pPr>
      <w:r w:rsidRPr="00441526">
        <w:rPr>
          <w:b/>
          <w:lang w:val="en-NZ" w:eastAsia="ko-KR"/>
        </w:rPr>
        <w:t>3.1.</w:t>
      </w:r>
      <w:r>
        <w:rPr>
          <w:b/>
          <w:lang w:val="en-NZ" w:eastAsia="ko-KR"/>
        </w:rPr>
        <w:t>9</w:t>
      </w:r>
      <w:r w:rsidRPr="00441526">
        <w:rPr>
          <w:b/>
          <w:lang w:val="en-NZ" w:eastAsia="ko-KR"/>
        </w:rPr>
        <w:tab/>
      </w:r>
      <w:r w:rsidR="00CC058C" w:rsidRPr="00CC058C">
        <w:rPr>
          <w:b/>
          <w:lang w:val="en-NZ" w:eastAsia="ko-KR"/>
        </w:rPr>
        <w:t>China (People’s Republic of)</w:t>
      </w:r>
      <w:r w:rsidRPr="00441526">
        <w:rPr>
          <w:b/>
          <w:lang w:val="en-NZ" w:eastAsia="ko-KR"/>
        </w:rPr>
        <w:t xml:space="preserve"> </w:t>
      </w:r>
      <w:r w:rsidRPr="00441526">
        <w:t xml:space="preserve">- </w:t>
      </w:r>
      <w:r w:rsidR="00CC058C">
        <w:rPr>
          <w:b/>
          <w:lang w:val="en-NZ" w:eastAsia="ko-KR"/>
        </w:rPr>
        <w:t>Document APG19-3/INP-90</w:t>
      </w:r>
    </w:p>
    <w:p w14:paraId="12E0B6CD" w14:textId="0E09A005" w:rsidR="00CC058C" w:rsidRPr="00CC058C" w:rsidRDefault="00CC058C" w:rsidP="00CC058C">
      <w:pPr>
        <w:snapToGrid w:val="0"/>
        <w:spacing w:beforeLines="50" w:before="120"/>
        <w:jc w:val="both"/>
        <w:rPr>
          <w:rFonts w:eastAsia="SimSun"/>
          <w:b/>
          <w:lang w:eastAsia="zh-CN"/>
        </w:rPr>
      </w:pPr>
      <w:r w:rsidRPr="00CC058C">
        <w:rPr>
          <w:rFonts w:eastAsia="SimSun"/>
          <w:b/>
          <w:lang w:eastAsia="zh-CN"/>
        </w:rPr>
        <w:t>Preliminary Views</w:t>
      </w:r>
    </w:p>
    <w:p w14:paraId="51D193FD" w14:textId="77777777" w:rsidR="00CC058C" w:rsidRPr="00CC058C" w:rsidRDefault="00CC058C" w:rsidP="00CC058C">
      <w:pPr>
        <w:snapToGrid w:val="0"/>
        <w:spacing w:beforeLines="50" w:before="120"/>
        <w:jc w:val="both"/>
        <w:rPr>
          <w:rFonts w:eastAsia="SimSun"/>
          <w:lang w:eastAsia="zh-CN"/>
        </w:rPr>
      </w:pPr>
      <w:r w:rsidRPr="00CC058C">
        <w:rPr>
          <w:rFonts w:eastAsia="SimSun" w:hint="eastAsia"/>
          <w:lang w:eastAsia="zh-CN"/>
        </w:rPr>
        <w:t>T</w:t>
      </w:r>
      <w:r w:rsidRPr="00CC058C">
        <w:rPr>
          <w:rFonts w:eastAsia="SimSun"/>
          <w:lang w:eastAsia="zh-CN"/>
        </w:rPr>
        <w:t xml:space="preserve">his administration actively participated in the compatibility studies undertaken in ITU-R WP 5B, and supported to develop a </w:t>
      </w:r>
      <w:proofErr w:type="spellStart"/>
      <w:r w:rsidRPr="00CC058C">
        <w:rPr>
          <w:rFonts w:eastAsia="SimSun"/>
          <w:lang w:eastAsia="zh-CN"/>
        </w:rPr>
        <w:t>pfd</w:t>
      </w:r>
      <w:proofErr w:type="spellEnd"/>
      <w:r w:rsidRPr="00CC058C">
        <w:rPr>
          <w:rFonts w:eastAsia="SimSun"/>
          <w:lang w:eastAsia="zh-CN"/>
        </w:rPr>
        <w:t xml:space="preserve"> mask for VDES downlink transmission to fully protect the incumbent service in the same and adjacent frequency bands based on appropriate parameters and assumptions contained in ITU-R Recommendations and had been wildly used in sharing studies conducted by ITU-R Study Groups.</w:t>
      </w:r>
    </w:p>
    <w:p w14:paraId="70272F9E" w14:textId="3C0CADCF" w:rsidR="00CC058C" w:rsidRPr="00CC058C" w:rsidRDefault="00CC058C" w:rsidP="00CC058C">
      <w:pPr>
        <w:snapToGrid w:val="0"/>
        <w:spacing w:beforeLines="50" w:before="120"/>
        <w:jc w:val="both"/>
        <w:rPr>
          <w:b/>
          <w:lang w:eastAsia="ko-KR"/>
        </w:rPr>
      </w:pPr>
      <w:r w:rsidRPr="00CC058C">
        <w:rPr>
          <w:b/>
          <w:lang w:eastAsia="ko-KR"/>
        </w:rPr>
        <w:t xml:space="preserve">Proposals on APT Preliminary </w:t>
      </w:r>
      <w:r w:rsidRPr="00CC058C">
        <w:rPr>
          <w:rFonts w:hint="eastAsia"/>
          <w:b/>
          <w:lang w:eastAsia="ko-KR"/>
        </w:rPr>
        <w:t>views</w:t>
      </w:r>
    </w:p>
    <w:p w14:paraId="2A5AB104" w14:textId="77777777" w:rsidR="00CC058C" w:rsidRPr="00CC058C" w:rsidRDefault="00CC058C" w:rsidP="00CC058C">
      <w:pPr>
        <w:snapToGrid w:val="0"/>
        <w:spacing w:beforeLines="50" w:before="120"/>
        <w:jc w:val="both"/>
        <w:rPr>
          <w:rFonts w:eastAsia="SimSun"/>
          <w:lang w:eastAsia="zh-CN"/>
        </w:rPr>
      </w:pPr>
      <w:r w:rsidRPr="00CC058C">
        <w:rPr>
          <w:rFonts w:eastAsia="SimSun" w:hint="eastAsia"/>
          <w:lang w:eastAsia="zh-CN"/>
        </w:rPr>
        <w:t xml:space="preserve">This administration </w:t>
      </w:r>
      <w:r w:rsidRPr="00CC058C">
        <w:rPr>
          <w:rFonts w:eastAsia="SimSun"/>
          <w:lang w:eastAsia="zh-CN"/>
        </w:rPr>
        <w:t>proposed to modify the APT Preliminary Views drafted in APG 19-2 meeting as following:</w:t>
      </w:r>
      <w:r w:rsidRPr="00CC058C">
        <w:rPr>
          <w:rFonts w:eastAsia="SimSun" w:hint="eastAsia"/>
          <w:lang w:eastAsia="zh-CN"/>
        </w:rPr>
        <w:t xml:space="preserve"> </w:t>
      </w:r>
    </w:p>
    <w:p w14:paraId="7445C097" w14:textId="2D3871BB" w:rsidR="00CC058C" w:rsidRPr="00CC058C" w:rsidRDefault="0000466F" w:rsidP="00CC058C">
      <w:pPr>
        <w:numPr>
          <w:ilvl w:val="0"/>
          <w:numId w:val="24"/>
        </w:numPr>
        <w:snapToGrid w:val="0"/>
        <w:spacing w:beforeLines="50" w:before="120"/>
        <w:jc w:val="both"/>
        <w:rPr>
          <w:rFonts w:eastAsia="SimSun"/>
          <w:bCs/>
          <w:snapToGrid w:val="0"/>
          <w:lang w:eastAsia="zh-CN"/>
        </w:rPr>
      </w:pPr>
      <w:r>
        <w:rPr>
          <w:rFonts w:eastAsia="SimSun"/>
          <w:bCs/>
          <w:snapToGrid w:val="0"/>
          <w:lang w:eastAsia="zh-CN"/>
        </w:rPr>
        <w:t>Ex</w:t>
      </w:r>
      <w:r w:rsidR="00CC058C" w:rsidRPr="00CC058C">
        <w:rPr>
          <w:rFonts w:eastAsia="SimSun"/>
          <w:bCs/>
          <w:snapToGrid w:val="0"/>
          <w:lang w:eastAsia="zh-CN"/>
        </w:rPr>
        <w:t>isting allocations and systems in the same and adjacent bands should be protected from harmful interference and no any additional constraints were imposed;</w:t>
      </w:r>
    </w:p>
    <w:p w14:paraId="479E8E79" w14:textId="77777777" w:rsidR="00CC058C" w:rsidRPr="00CC058C" w:rsidRDefault="00CC058C" w:rsidP="00CC058C">
      <w:pPr>
        <w:numPr>
          <w:ilvl w:val="0"/>
          <w:numId w:val="24"/>
        </w:numPr>
        <w:snapToGrid w:val="0"/>
        <w:spacing w:beforeLines="50" w:before="120"/>
        <w:jc w:val="both"/>
        <w:rPr>
          <w:rFonts w:eastAsia="SimSun"/>
          <w:bCs/>
          <w:snapToGrid w:val="0"/>
          <w:lang w:eastAsia="zh-CN"/>
        </w:rPr>
      </w:pPr>
      <w:r w:rsidRPr="00CC058C">
        <w:rPr>
          <w:rFonts w:eastAsia="SimSun" w:hint="eastAsia"/>
          <w:bCs/>
          <w:snapToGrid w:val="0"/>
          <w:lang w:eastAsia="zh-CN"/>
        </w:rPr>
        <w:t>T</w:t>
      </w:r>
      <w:r w:rsidRPr="00CC058C">
        <w:rPr>
          <w:rFonts w:eastAsia="SimSun"/>
          <w:bCs/>
          <w:snapToGrid w:val="0"/>
          <w:lang w:eastAsia="zh-CN"/>
        </w:rPr>
        <w:t xml:space="preserve">he VDES downlink </w:t>
      </w:r>
      <w:proofErr w:type="spellStart"/>
      <w:r w:rsidRPr="00CC058C">
        <w:rPr>
          <w:rFonts w:eastAsia="SimSun"/>
          <w:bCs/>
          <w:snapToGrid w:val="0"/>
          <w:lang w:eastAsia="zh-CN"/>
        </w:rPr>
        <w:t>pfd</w:t>
      </w:r>
      <w:proofErr w:type="spellEnd"/>
      <w:r w:rsidRPr="00CC058C">
        <w:rPr>
          <w:rFonts w:eastAsia="SimSun"/>
          <w:bCs/>
          <w:snapToGrid w:val="0"/>
          <w:lang w:eastAsia="zh-CN"/>
        </w:rPr>
        <w:t xml:space="preserve"> mask should be developed with </w:t>
      </w:r>
      <w:r w:rsidRPr="00CC058C">
        <w:rPr>
          <w:rFonts w:eastAsia="SimSun"/>
          <w:lang w:eastAsia="zh-CN"/>
        </w:rPr>
        <w:t>appropriate parameters and assumptions contained in ITU-R Recommendations and had been wildly used in sharing studies conducted by ITU-R Study Groups.</w:t>
      </w:r>
    </w:p>
    <w:p w14:paraId="4B94AA2F" w14:textId="77777777" w:rsidR="00CC058C" w:rsidRPr="00CC058C" w:rsidRDefault="00CC058C" w:rsidP="00CC058C">
      <w:pPr>
        <w:numPr>
          <w:ilvl w:val="0"/>
          <w:numId w:val="24"/>
        </w:numPr>
        <w:snapToGrid w:val="0"/>
        <w:spacing w:beforeLines="50" w:before="120"/>
        <w:jc w:val="both"/>
        <w:rPr>
          <w:rFonts w:eastAsia="SimSun"/>
          <w:bCs/>
          <w:snapToGrid w:val="0"/>
          <w:lang w:eastAsia="zh-CN"/>
        </w:rPr>
      </w:pPr>
      <w:r w:rsidRPr="00CC058C">
        <w:rPr>
          <w:rFonts w:eastAsia="SimSun"/>
          <w:bCs/>
          <w:snapToGrid w:val="0"/>
          <w:lang w:eastAsia="zh-CN"/>
        </w:rPr>
        <w:t>Search and rescue aircraft system operating in maritime frequencies must be protected;</w:t>
      </w:r>
    </w:p>
    <w:p w14:paraId="2151BA79" w14:textId="77777777" w:rsidR="00CC058C" w:rsidRPr="00CC058C" w:rsidRDefault="00CC058C" w:rsidP="00CC058C">
      <w:pPr>
        <w:numPr>
          <w:ilvl w:val="0"/>
          <w:numId w:val="24"/>
        </w:numPr>
        <w:snapToGrid w:val="0"/>
        <w:spacing w:beforeLines="50" w:before="120"/>
        <w:jc w:val="both"/>
        <w:rPr>
          <w:rFonts w:eastAsia="SimSun"/>
          <w:bCs/>
          <w:snapToGrid w:val="0"/>
          <w:lang w:eastAsia="zh-CN"/>
        </w:rPr>
      </w:pPr>
      <w:r w:rsidRPr="00CC058C">
        <w:rPr>
          <w:rFonts w:eastAsia="SimSun"/>
          <w:bCs/>
          <w:snapToGrid w:val="0"/>
          <w:lang w:eastAsia="zh-CN"/>
        </w:rPr>
        <w:t xml:space="preserve">The AIS integrity should be protected, and avoid </w:t>
      </w:r>
      <w:r w:rsidRPr="00CC058C">
        <w:rPr>
          <w:lang w:val="en-NZ"/>
        </w:rPr>
        <w:t>any modification requested to existing AIS equipment on board existing vessels;</w:t>
      </w:r>
    </w:p>
    <w:p w14:paraId="576B6EED" w14:textId="77777777" w:rsidR="00CC058C" w:rsidRPr="00CC058C" w:rsidRDefault="00CC058C" w:rsidP="00CC058C">
      <w:pPr>
        <w:numPr>
          <w:ilvl w:val="0"/>
          <w:numId w:val="24"/>
        </w:numPr>
        <w:snapToGrid w:val="0"/>
        <w:spacing w:beforeLines="50" w:before="120"/>
        <w:jc w:val="both"/>
        <w:rPr>
          <w:rFonts w:eastAsia="SimSun"/>
          <w:bCs/>
          <w:snapToGrid w:val="0"/>
          <w:lang w:eastAsia="zh-CN"/>
        </w:rPr>
      </w:pPr>
      <w:r w:rsidRPr="00CC058C">
        <w:rPr>
          <w:rFonts w:eastAsia="SimSun"/>
          <w:bCs/>
          <w:snapToGrid w:val="0"/>
          <w:lang w:eastAsia="zh-CN"/>
        </w:rPr>
        <w:t>VDES satellite components downlink transmission should not degrade the terrestrial VDES components, ASM and AIS operations;</w:t>
      </w:r>
    </w:p>
    <w:p w14:paraId="4F8B5210" w14:textId="77777777" w:rsidR="00CC058C" w:rsidRPr="00CC058C" w:rsidRDefault="00CC058C" w:rsidP="00CC058C">
      <w:pPr>
        <w:numPr>
          <w:ilvl w:val="0"/>
          <w:numId w:val="24"/>
        </w:numPr>
        <w:snapToGrid w:val="0"/>
        <w:spacing w:beforeLines="50" w:before="120"/>
        <w:jc w:val="both"/>
        <w:rPr>
          <w:rFonts w:eastAsia="SimSun"/>
          <w:bCs/>
          <w:snapToGrid w:val="0"/>
          <w:lang w:eastAsia="zh-CN"/>
        </w:rPr>
      </w:pPr>
      <w:r w:rsidRPr="00CC058C">
        <w:rPr>
          <w:rFonts w:eastAsia="SimSun"/>
          <w:bCs/>
          <w:snapToGrid w:val="0"/>
          <w:lang w:eastAsia="zh-CN"/>
        </w:rPr>
        <w:t>VDES satellite components should not claim protection from harmful interference caused by stations of a land mobile service to which frequencies are already assigned; and</w:t>
      </w:r>
    </w:p>
    <w:p w14:paraId="2ED81318" w14:textId="77777777" w:rsidR="00CC058C" w:rsidRPr="00CC058C" w:rsidRDefault="00CC058C" w:rsidP="00CC058C">
      <w:pPr>
        <w:numPr>
          <w:ilvl w:val="0"/>
          <w:numId w:val="24"/>
        </w:numPr>
        <w:snapToGrid w:val="0"/>
        <w:spacing w:beforeLines="50" w:before="120"/>
        <w:jc w:val="both"/>
        <w:rPr>
          <w:rFonts w:eastAsia="SimSun"/>
          <w:bCs/>
          <w:snapToGrid w:val="0"/>
          <w:lang w:eastAsia="zh-CN"/>
        </w:rPr>
      </w:pPr>
      <w:r w:rsidRPr="00CC058C">
        <w:rPr>
          <w:rFonts w:eastAsia="SimSun"/>
          <w:bCs/>
          <w:snapToGrid w:val="0"/>
          <w:lang w:eastAsia="zh-CN"/>
        </w:rPr>
        <w:t>If the spectrum needs were appropriately justified, new spectrum allocations could be identified to the maritime mobile-satellite service (MMSS) (Earth-to-space and space-to-Earth) with the provisions ensuring not to cause harmful interference and no claim of protection from incumbent service on a primary basis in the same and adjacent frequency bands.</w:t>
      </w:r>
    </w:p>
    <w:p w14:paraId="32F7F9D1" w14:textId="77777777" w:rsidR="002A0111" w:rsidRPr="002757E9" w:rsidRDefault="002A0111" w:rsidP="002A0111">
      <w:pPr>
        <w:rPr>
          <w:lang w:val="en-NZ"/>
        </w:rPr>
      </w:pPr>
    </w:p>
    <w:p w14:paraId="6E378CE8" w14:textId="3F757039" w:rsidR="002A0111" w:rsidRPr="00CB3618" w:rsidRDefault="002A0111" w:rsidP="00CB3618">
      <w:pPr>
        <w:pStyle w:val="ListParagraph"/>
        <w:numPr>
          <w:ilvl w:val="1"/>
          <w:numId w:val="26"/>
        </w:numPr>
        <w:spacing w:after="120"/>
        <w:jc w:val="both"/>
        <w:rPr>
          <w:b/>
          <w:lang w:val="en-NZ"/>
        </w:rPr>
      </w:pPr>
      <w:r w:rsidRPr="00CB3618">
        <w:rPr>
          <w:b/>
          <w:lang w:val="en-NZ"/>
        </w:rPr>
        <w:tab/>
        <w:t>S</w:t>
      </w:r>
      <w:r w:rsidRPr="00CB3618">
        <w:rPr>
          <w:b/>
          <w:lang w:val="en-NZ" w:eastAsia="ko-KR"/>
        </w:rPr>
        <w:t>ummary of issues raised du</w:t>
      </w:r>
      <w:r w:rsidRPr="00CB3618">
        <w:rPr>
          <w:b/>
          <w:lang w:val="en-NZ"/>
        </w:rPr>
        <w:t>ring the meeting</w:t>
      </w:r>
    </w:p>
    <w:p w14:paraId="27403C11" w14:textId="175F12FA" w:rsidR="009503FF" w:rsidRDefault="00BE41E8" w:rsidP="00CB3618">
      <w:pPr>
        <w:pStyle w:val="ListParagraph"/>
        <w:numPr>
          <w:ilvl w:val="0"/>
          <w:numId w:val="18"/>
        </w:numPr>
        <w:jc w:val="both"/>
        <w:rPr>
          <w:lang w:val="en-NZ" w:eastAsia="ko-KR"/>
        </w:rPr>
      </w:pPr>
      <w:r w:rsidRPr="009676CC">
        <w:rPr>
          <w:lang w:val="en-NZ" w:eastAsia="ko-KR"/>
        </w:rPr>
        <w:t>Existing services need to be protected from the VDES satellite component.</w:t>
      </w:r>
    </w:p>
    <w:p w14:paraId="7E62FDF5" w14:textId="5075E361" w:rsidR="009503FF" w:rsidRPr="00CB3618" w:rsidRDefault="009503FF" w:rsidP="00CB3618">
      <w:pPr>
        <w:pStyle w:val="ListParagraph"/>
        <w:numPr>
          <w:ilvl w:val="0"/>
          <w:numId w:val="18"/>
        </w:numPr>
        <w:jc w:val="both"/>
        <w:rPr>
          <w:lang w:val="en-NZ" w:eastAsia="ko-KR"/>
        </w:rPr>
      </w:pPr>
      <w:r w:rsidRPr="009503FF">
        <w:rPr>
          <w:lang w:val="en-NZ"/>
        </w:rPr>
        <w:t>Some APT Members express</w:t>
      </w:r>
      <w:r>
        <w:rPr>
          <w:lang w:val="en-NZ"/>
        </w:rPr>
        <w:t>ed</w:t>
      </w:r>
      <w:r w:rsidRPr="009503FF">
        <w:rPr>
          <w:lang w:val="en-NZ"/>
        </w:rPr>
        <w:t xml:space="preserve"> </w:t>
      </w:r>
      <w:r>
        <w:rPr>
          <w:lang w:val="en-NZ"/>
        </w:rPr>
        <w:t>v</w:t>
      </w:r>
      <w:r w:rsidRPr="009503FF">
        <w:rPr>
          <w:lang w:val="en-NZ"/>
        </w:rPr>
        <w:t>iew</w:t>
      </w:r>
      <w:r>
        <w:rPr>
          <w:lang w:val="en-NZ"/>
        </w:rPr>
        <w:t>s</w:t>
      </w:r>
      <w:r w:rsidRPr="009503FF">
        <w:rPr>
          <w:lang w:val="en-NZ"/>
        </w:rPr>
        <w:t xml:space="preserve"> of preference on</w:t>
      </w:r>
      <w:r>
        <w:rPr>
          <w:lang w:val="en-NZ"/>
        </w:rPr>
        <w:t xml:space="preserve"> VDES satellite component frequencies.</w:t>
      </w:r>
    </w:p>
    <w:p w14:paraId="39B4CF96" w14:textId="77777777" w:rsidR="003C3954" w:rsidRDefault="003C3954" w:rsidP="00CB3618">
      <w:pPr>
        <w:pStyle w:val="ListParagraph"/>
        <w:ind w:left="426" w:hanging="425"/>
        <w:jc w:val="both"/>
        <w:rPr>
          <w:b/>
          <w:lang w:val="en-NZ" w:eastAsia="ko-KR"/>
        </w:rPr>
      </w:pPr>
    </w:p>
    <w:p w14:paraId="73A40A65" w14:textId="3AC1379D"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752ED1AC" w14:textId="77777777" w:rsidR="0057579E" w:rsidRPr="00DE64D6" w:rsidRDefault="0057579E" w:rsidP="0057579E">
      <w:pPr>
        <w:rPr>
          <w:rFonts w:eastAsia="MS Mincho"/>
          <w:lang w:val="en-NZ" w:eastAsia="ja-JP"/>
        </w:rPr>
      </w:pPr>
      <w:r w:rsidRPr="00DE64D6">
        <w:rPr>
          <w:rFonts w:eastAsia="MS Mincho"/>
          <w:lang w:val="en-NZ" w:eastAsia="ja-JP"/>
        </w:rPr>
        <w:t xml:space="preserve">APT </w:t>
      </w:r>
      <w:r>
        <w:rPr>
          <w:rFonts w:eastAsia="MS Mincho"/>
          <w:lang w:val="en-NZ" w:eastAsia="ja-JP"/>
        </w:rPr>
        <w:t xml:space="preserve">Members </w:t>
      </w:r>
      <w:r w:rsidRPr="00DE64D6">
        <w:rPr>
          <w:rFonts w:eastAsia="MS Mincho"/>
          <w:lang w:val="en-NZ" w:eastAsia="ja-JP"/>
        </w:rPr>
        <w:t xml:space="preserve">support the ITU-R studies undertaken in accordance with Resolution </w:t>
      </w:r>
      <w:r w:rsidRPr="00DE64D6">
        <w:rPr>
          <w:rFonts w:eastAsia="MS Mincho"/>
          <w:b/>
          <w:lang w:val="en-NZ" w:eastAsia="ja-JP"/>
        </w:rPr>
        <w:t>360 (Rev. WRC-15)</w:t>
      </w:r>
      <w:r w:rsidRPr="00DE64D6">
        <w:rPr>
          <w:rFonts w:eastAsia="MS Mincho"/>
          <w:lang w:val="en-NZ" w:eastAsia="ja-JP"/>
        </w:rPr>
        <w:t xml:space="preserve"> to identify possible new allocations to the maritime mobile-satellite service for VDES satellite component.</w:t>
      </w:r>
    </w:p>
    <w:p w14:paraId="202EADFF" w14:textId="77777777" w:rsidR="0057579E" w:rsidRDefault="0057579E" w:rsidP="0057579E">
      <w:pPr>
        <w:rPr>
          <w:lang w:val="en-NZ"/>
        </w:rPr>
      </w:pPr>
    </w:p>
    <w:p w14:paraId="39D5C284" w14:textId="48C74CA9" w:rsidR="0057579E" w:rsidRPr="00997DDD" w:rsidRDefault="0057579E" w:rsidP="0057579E">
      <w:pPr>
        <w:rPr>
          <w:lang w:val="en-NZ"/>
        </w:rPr>
      </w:pPr>
      <w:r w:rsidRPr="00DE64D6">
        <w:rPr>
          <w:lang w:val="en-NZ"/>
        </w:rPr>
        <w:lastRenderedPageBreak/>
        <w:t>In rega</w:t>
      </w:r>
      <w:r w:rsidRPr="00997DDD">
        <w:rPr>
          <w:lang w:val="en-NZ"/>
        </w:rPr>
        <w:t>rd</w:t>
      </w:r>
      <w:r w:rsidRPr="00997DDD">
        <w:rPr>
          <w:rFonts w:eastAsia="MS Mincho" w:hint="eastAsia"/>
          <w:lang w:val="en-NZ" w:eastAsia="ja-JP"/>
        </w:rPr>
        <w:t xml:space="preserve">s </w:t>
      </w:r>
      <w:r w:rsidRPr="00997DDD">
        <w:rPr>
          <w:rFonts w:eastAsia="MS Mincho"/>
          <w:lang w:val="en-NZ" w:eastAsia="ja-JP"/>
        </w:rPr>
        <w:t>to</w:t>
      </w:r>
      <w:r w:rsidRPr="00997DDD">
        <w:rPr>
          <w:lang w:val="en-NZ"/>
        </w:rPr>
        <w:t xml:space="preserve"> the possible modification of the Radio Regulations under WRC-19 Agenda Item 1.9.2, APT Members are of the view that:</w:t>
      </w:r>
    </w:p>
    <w:p w14:paraId="5894023E" w14:textId="171982D6" w:rsidR="0057579E" w:rsidRDefault="0057579E" w:rsidP="0057579E">
      <w:pPr>
        <w:pStyle w:val="ListParagraph"/>
        <w:ind w:left="426" w:hanging="425"/>
        <w:jc w:val="both"/>
        <w:rPr>
          <w:lang w:val="en-NZ"/>
        </w:rPr>
      </w:pPr>
      <w:r w:rsidRPr="00997DDD">
        <w:rPr>
          <w:lang w:val="en-NZ"/>
        </w:rPr>
        <w:t>-</w:t>
      </w:r>
      <w:r w:rsidRPr="00997DDD">
        <w:rPr>
          <w:lang w:val="en-NZ"/>
        </w:rPr>
        <w:tab/>
        <w:t>Ex</w:t>
      </w:r>
      <w:r w:rsidRPr="00DE64D6">
        <w:rPr>
          <w:lang w:val="en-NZ"/>
        </w:rPr>
        <w:t xml:space="preserve">isting allocations and systems in </w:t>
      </w:r>
      <w:r>
        <w:rPr>
          <w:lang w:val="en-NZ"/>
        </w:rPr>
        <w:t xml:space="preserve">the </w:t>
      </w:r>
      <w:r w:rsidRPr="00DE64D6">
        <w:rPr>
          <w:lang w:val="en-NZ"/>
        </w:rPr>
        <w:t>same and adjacent bands</w:t>
      </w:r>
      <w:r w:rsidR="004E64F3">
        <w:rPr>
          <w:lang w:val="en-NZ"/>
        </w:rPr>
        <w:t xml:space="preserve"> should</w:t>
      </w:r>
      <w:r w:rsidRPr="00DE64D6">
        <w:rPr>
          <w:lang w:val="en-NZ"/>
        </w:rPr>
        <w:t xml:space="preserve"> be protected</w:t>
      </w:r>
      <w:r>
        <w:rPr>
          <w:lang w:val="en-NZ"/>
        </w:rPr>
        <w:t xml:space="preserve"> from harmful interference</w:t>
      </w:r>
      <w:r w:rsidR="00230A50">
        <w:rPr>
          <w:lang w:val="en-NZ"/>
        </w:rPr>
        <w:t>,</w:t>
      </w:r>
      <w:r>
        <w:rPr>
          <w:lang w:val="en-NZ"/>
        </w:rPr>
        <w:t xml:space="preserve"> </w:t>
      </w:r>
      <w:r w:rsidR="004E64F3">
        <w:rPr>
          <w:lang w:val="en-NZ"/>
        </w:rPr>
        <w:t>and no</w:t>
      </w:r>
      <w:r>
        <w:rPr>
          <w:lang w:val="en-NZ"/>
        </w:rPr>
        <w:t xml:space="preserve"> any </w:t>
      </w:r>
      <w:r w:rsidR="004E64F3">
        <w:rPr>
          <w:lang w:val="en-NZ"/>
        </w:rPr>
        <w:t xml:space="preserve">additional </w:t>
      </w:r>
      <w:r>
        <w:rPr>
          <w:lang w:val="en-NZ"/>
        </w:rPr>
        <w:t>constraints</w:t>
      </w:r>
      <w:r w:rsidR="004E64F3">
        <w:rPr>
          <w:lang w:val="en-NZ"/>
        </w:rPr>
        <w:t xml:space="preserve"> </w:t>
      </w:r>
      <w:r w:rsidR="00230A50">
        <w:rPr>
          <w:lang w:val="en-NZ"/>
        </w:rPr>
        <w:t>a</w:t>
      </w:r>
      <w:r w:rsidR="004E64F3">
        <w:rPr>
          <w:lang w:val="en-NZ"/>
        </w:rPr>
        <w:t>re imposed</w:t>
      </w:r>
      <w:r w:rsidRPr="00DE64D6">
        <w:rPr>
          <w:lang w:val="en-NZ"/>
        </w:rPr>
        <w:t>;</w:t>
      </w:r>
    </w:p>
    <w:p w14:paraId="357CFC1B" w14:textId="1C4806B0" w:rsidR="004E64F3" w:rsidRPr="00DE64D6" w:rsidRDefault="004E64F3" w:rsidP="0057579E">
      <w:pPr>
        <w:pStyle w:val="ListParagraph"/>
        <w:ind w:left="426" w:hanging="425"/>
        <w:jc w:val="both"/>
        <w:rPr>
          <w:lang w:val="en-NZ"/>
        </w:rPr>
      </w:pPr>
      <w:r>
        <w:rPr>
          <w:rFonts w:eastAsia="MS Mincho" w:hint="eastAsia"/>
          <w:lang w:val="en-NZ" w:eastAsia="ja-JP"/>
        </w:rPr>
        <w:t>-</w:t>
      </w:r>
      <w:r w:rsidRPr="004E64F3">
        <w:rPr>
          <w:lang w:val="en-NZ"/>
        </w:rPr>
        <w:tab/>
        <w:t>The VDES</w:t>
      </w:r>
      <w:r w:rsidR="009503FF">
        <w:rPr>
          <w:lang w:val="en-NZ"/>
        </w:rPr>
        <w:t xml:space="preserve"> satellite component</w:t>
      </w:r>
      <w:r w:rsidRPr="004E64F3">
        <w:rPr>
          <w:lang w:val="en-NZ"/>
        </w:rPr>
        <w:t xml:space="preserve"> downlink </w:t>
      </w:r>
      <w:proofErr w:type="spellStart"/>
      <w:r w:rsidRPr="004E64F3">
        <w:rPr>
          <w:lang w:val="en-NZ"/>
        </w:rPr>
        <w:t>pfd</w:t>
      </w:r>
      <w:proofErr w:type="spellEnd"/>
      <w:r w:rsidRPr="004E64F3">
        <w:rPr>
          <w:lang w:val="en-NZ"/>
        </w:rPr>
        <w:t xml:space="preserve"> mask should be developed with appropriate parameters and assumptions contained in ITU-R </w:t>
      </w:r>
      <w:proofErr w:type="gramStart"/>
      <w:r w:rsidRPr="004E64F3">
        <w:rPr>
          <w:lang w:val="en-NZ"/>
        </w:rPr>
        <w:t>Recommendations</w:t>
      </w:r>
      <w:r w:rsidR="00230A50">
        <w:rPr>
          <w:lang w:val="en-NZ"/>
        </w:rPr>
        <w:t>, that</w:t>
      </w:r>
      <w:proofErr w:type="gramEnd"/>
      <w:r w:rsidRPr="004E64F3">
        <w:rPr>
          <w:lang w:val="en-NZ"/>
        </w:rPr>
        <w:t xml:space="preserve"> ha</w:t>
      </w:r>
      <w:r w:rsidR="00230A50">
        <w:rPr>
          <w:lang w:val="en-NZ"/>
        </w:rPr>
        <w:t>ve</w:t>
      </w:r>
      <w:r w:rsidRPr="004E64F3">
        <w:rPr>
          <w:lang w:val="en-NZ"/>
        </w:rPr>
        <w:t xml:space="preserve"> been wid</w:t>
      </w:r>
      <w:r w:rsidR="009503FF">
        <w:rPr>
          <w:lang w:val="en-NZ"/>
        </w:rPr>
        <w:t>e</w:t>
      </w:r>
      <w:r w:rsidRPr="004E64F3">
        <w:rPr>
          <w:lang w:val="en-NZ"/>
        </w:rPr>
        <w:t>ly used in sharing studies conducted by ITU-R Study Groups</w:t>
      </w:r>
      <w:r>
        <w:rPr>
          <w:lang w:val="en-NZ"/>
        </w:rPr>
        <w:t>;</w:t>
      </w:r>
    </w:p>
    <w:p w14:paraId="4126D885" w14:textId="29C60992" w:rsidR="0057579E" w:rsidRDefault="0057579E" w:rsidP="0057579E">
      <w:pPr>
        <w:pStyle w:val="ListParagraph"/>
        <w:ind w:left="426" w:hanging="425"/>
        <w:jc w:val="both"/>
        <w:rPr>
          <w:lang w:val="en-NZ"/>
        </w:rPr>
      </w:pPr>
      <w:r w:rsidRPr="00DE64D6">
        <w:rPr>
          <w:lang w:val="en-NZ"/>
        </w:rPr>
        <w:t>-</w:t>
      </w:r>
      <w:r w:rsidRPr="00DE64D6">
        <w:rPr>
          <w:lang w:val="en-NZ"/>
        </w:rPr>
        <w:tab/>
        <w:t>Search and rescue aircraft system operating in maritime frequencies must be protected;</w:t>
      </w:r>
    </w:p>
    <w:p w14:paraId="519EBBBF" w14:textId="77777777" w:rsidR="00AC60EE" w:rsidRPr="00DE64D6" w:rsidRDefault="00AC60EE" w:rsidP="00AC60EE">
      <w:pPr>
        <w:pStyle w:val="ListParagraph"/>
        <w:ind w:left="426" w:hanging="425"/>
        <w:jc w:val="both"/>
        <w:rPr>
          <w:lang w:val="en-NZ"/>
        </w:rPr>
      </w:pPr>
      <w:r w:rsidRPr="00DE64D6">
        <w:rPr>
          <w:lang w:val="en-NZ"/>
        </w:rPr>
        <w:t>-</w:t>
      </w:r>
      <w:r w:rsidRPr="00DE64D6">
        <w:rPr>
          <w:lang w:val="en-NZ"/>
        </w:rPr>
        <w:tab/>
        <w:t>VDES satellite components downlink transmission should not degrade the terrestrial VDES components, ASM and AIS operation;</w:t>
      </w:r>
    </w:p>
    <w:p w14:paraId="2D69F28B" w14:textId="1BA6B723" w:rsidR="004E64F3" w:rsidRPr="00DE64D6" w:rsidRDefault="004E64F3" w:rsidP="0057579E">
      <w:pPr>
        <w:pStyle w:val="ListParagraph"/>
        <w:ind w:left="426" w:hanging="425"/>
        <w:jc w:val="both"/>
        <w:rPr>
          <w:lang w:val="en-NZ"/>
        </w:rPr>
      </w:pPr>
      <w:r w:rsidRPr="004E64F3">
        <w:rPr>
          <w:lang w:val="en-NZ"/>
        </w:rPr>
        <w:t>-</w:t>
      </w:r>
      <w:r w:rsidRPr="004E64F3">
        <w:rPr>
          <w:lang w:val="en-NZ"/>
        </w:rPr>
        <w:tab/>
        <w:t>The AIS integrity should be protected, and avoid any modification to existing AIS equipment on board vessels;</w:t>
      </w:r>
    </w:p>
    <w:p w14:paraId="4E72896C" w14:textId="3AAACF30" w:rsidR="0057579E" w:rsidRPr="00DE64D6" w:rsidRDefault="004E64F3" w:rsidP="0057579E">
      <w:pPr>
        <w:pStyle w:val="ListParagraph"/>
        <w:ind w:left="426" w:hanging="425"/>
        <w:jc w:val="both"/>
        <w:rPr>
          <w:lang w:val="en-NZ"/>
        </w:rPr>
      </w:pPr>
      <w:r>
        <w:rPr>
          <w:rFonts w:eastAsia="MS Mincho" w:hint="eastAsia"/>
          <w:lang w:val="en-NZ" w:eastAsia="ja-JP"/>
        </w:rPr>
        <w:t>-</w:t>
      </w:r>
      <w:r w:rsidR="0057579E" w:rsidRPr="00DE64D6">
        <w:rPr>
          <w:lang w:val="en-NZ"/>
        </w:rPr>
        <w:tab/>
        <w:t xml:space="preserve">VDES satellite components should not claim protection from harmful interference caused by stations of a </w:t>
      </w:r>
      <w:r w:rsidR="0057579E">
        <w:rPr>
          <w:lang w:val="en-NZ"/>
        </w:rPr>
        <w:t>land mobile</w:t>
      </w:r>
      <w:r w:rsidR="0057579E" w:rsidRPr="00DE64D6">
        <w:rPr>
          <w:lang w:val="en-NZ"/>
        </w:rPr>
        <w:t xml:space="preserve"> service to which frequencies are already assigned; and</w:t>
      </w:r>
    </w:p>
    <w:p w14:paraId="1B0ECB9A" w14:textId="05A84248" w:rsidR="0057579E" w:rsidRDefault="004E64F3" w:rsidP="0057579E">
      <w:pPr>
        <w:pStyle w:val="ListParagraph"/>
        <w:ind w:left="426" w:hanging="425"/>
        <w:jc w:val="both"/>
        <w:rPr>
          <w:lang w:val="en-NZ"/>
        </w:rPr>
      </w:pPr>
      <w:r>
        <w:rPr>
          <w:rFonts w:eastAsia="MS Mincho" w:hint="eastAsia"/>
          <w:lang w:val="en-NZ" w:eastAsia="ja-JP"/>
        </w:rPr>
        <w:t>-</w:t>
      </w:r>
      <w:r w:rsidR="0057579E" w:rsidRPr="00DE64D6">
        <w:rPr>
          <w:lang w:val="en-NZ"/>
        </w:rPr>
        <w:tab/>
        <w:t>If the spectrum needs were appropriate</w:t>
      </w:r>
      <w:r w:rsidR="0057579E">
        <w:rPr>
          <w:lang w:val="en-NZ"/>
        </w:rPr>
        <w:t>ly</w:t>
      </w:r>
      <w:r w:rsidR="0057579E" w:rsidRPr="00DE64D6">
        <w:rPr>
          <w:lang w:val="en-NZ"/>
        </w:rPr>
        <w:t xml:space="preserve"> justified, new spectrum allocations could be identified to the maritime mobile-satellite service (MMSS) (Earth-to-space and space-to-Earth)</w:t>
      </w:r>
      <w:r w:rsidR="00230A50">
        <w:rPr>
          <w:lang w:val="en-NZ"/>
        </w:rPr>
        <w:t xml:space="preserve">, with the </w:t>
      </w:r>
      <w:r w:rsidR="00AC60EE">
        <w:rPr>
          <w:lang w:val="en-NZ"/>
        </w:rPr>
        <w:t>provision</w:t>
      </w:r>
      <w:r w:rsidR="0057579E" w:rsidRPr="00DE64D6">
        <w:rPr>
          <w:lang w:val="en-NZ"/>
        </w:rPr>
        <w:t xml:space="preserve"> </w:t>
      </w:r>
      <w:r w:rsidR="00AC60EE">
        <w:rPr>
          <w:lang w:val="en-NZ"/>
        </w:rPr>
        <w:t xml:space="preserve">they do </w:t>
      </w:r>
      <w:r w:rsidR="0057579E" w:rsidRPr="00DE64D6">
        <w:rPr>
          <w:lang w:val="en-NZ"/>
        </w:rPr>
        <w:t>not cause harmful interference</w:t>
      </w:r>
      <w:r w:rsidR="00AC60EE">
        <w:rPr>
          <w:lang w:val="en-NZ"/>
        </w:rPr>
        <w:t>,</w:t>
      </w:r>
      <w:r w:rsidR="0057579E" w:rsidRPr="00DE64D6">
        <w:rPr>
          <w:lang w:val="en-NZ"/>
        </w:rPr>
        <w:t xml:space="preserve"> and </w:t>
      </w:r>
      <w:r w:rsidR="00AC60EE">
        <w:rPr>
          <w:lang w:val="en-NZ"/>
        </w:rPr>
        <w:t xml:space="preserve">have </w:t>
      </w:r>
      <w:r w:rsidR="0057579E" w:rsidRPr="00DE64D6">
        <w:rPr>
          <w:lang w:val="en-NZ"/>
        </w:rPr>
        <w:t xml:space="preserve">no claim </w:t>
      </w:r>
      <w:r w:rsidR="0057579E">
        <w:rPr>
          <w:lang w:val="en-NZ"/>
        </w:rPr>
        <w:t xml:space="preserve">of </w:t>
      </w:r>
      <w:r w:rsidR="0057579E" w:rsidRPr="00DE64D6">
        <w:rPr>
          <w:lang w:val="en-NZ"/>
        </w:rPr>
        <w:t>protection from incumbent service on a primary basis in the same and adjacent frequency bands.</w:t>
      </w:r>
    </w:p>
    <w:p w14:paraId="5B215A2D" w14:textId="298D44B8" w:rsidR="00654D09" w:rsidRPr="00654D09" w:rsidRDefault="00654D09" w:rsidP="00654D09">
      <w:pPr>
        <w:jc w:val="both"/>
        <w:rPr>
          <w:rFonts w:eastAsiaTheme="minorEastAsia"/>
          <w:lang w:val="en-NZ" w:eastAsia="zh-CN"/>
        </w:rPr>
      </w:pPr>
    </w:p>
    <w:p w14:paraId="3687861D" w14:textId="77777777" w:rsidR="00654D09" w:rsidRPr="0057579E" w:rsidRDefault="00654D09" w:rsidP="002A0111">
      <w:pPr>
        <w:rPr>
          <w:lang w:val="en-NZ"/>
        </w:rPr>
      </w:pPr>
    </w:p>
    <w:p w14:paraId="2711E65C"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013F8B49" w14:textId="3F9A5F93" w:rsidR="009503FF" w:rsidRPr="009676CC" w:rsidRDefault="009503FF" w:rsidP="00CB3618">
      <w:pPr>
        <w:pStyle w:val="ListParagraph"/>
        <w:numPr>
          <w:ilvl w:val="0"/>
          <w:numId w:val="18"/>
        </w:numPr>
        <w:jc w:val="both"/>
      </w:pPr>
      <w:r>
        <w:rPr>
          <w:lang w:val="en-NZ" w:eastAsia="ko-KR"/>
        </w:rPr>
        <w:t>Some APT M</w:t>
      </w:r>
      <w:r w:rsidRPr="009676CC">
        <w:rPr>
          <w:lang w:val="en-NZ" w:eastAsia="ko-KR"/>
        </w:rPr>
        <w:t>embers express</w:t>
      </w:r>
      <w:r>
        <w:rPr>
          <w:lang w:val="en-NZ" w:eastAsia="ko-KR"/>
        </w:rPr>
        <w:t>ed</w:t>
      </w:r>
      <w:r w:rsidRPr="009676CC">
        <w:rPr>
          <w:lang w:val="en-NZ" w:eastAsia="ko-KR"/>
        </w:rPr>
        <w:t xml:space="preserve"> the view that the frequency bands of the satellite component of the VDES should be selected from channelized frequencies in RR Appendix </w:t>
      </w:r>
      <w:r w:rsidRPr="009676CC">
        <w:rPr>
          <w:b/>
          <w:lang w:val="en-NZ" w:eastAsia="ko-KR"/>
        </w:rPr>
        <w:t>18</w:t>
      </w:r>
      <w:r w:rsidRPr="009676CC">
        <w:rPr>
          <w:lang w:val="en-NZ" w:eastAsia="ko-KR"/>
        </w:rPr>
        <w:t>.</w:t>
      </w:r>
      <w:r w:rsidRPr="009676CC">
        <w:t xml:space="preserve"> </w:t>
      </w:r>
    </w:p>
    <w:p w14:paraId="7DCF1042" w14:textId="12354C0E" w:rsidR="009503FF" w:rsidRPr="009676CC" w:rsidRDefault="009503FF" w:rsidP="00CB3618">
      <w:pPr>
        <w:pStyle w:val="ListParagraph"/>
        <w:numPr>
          <w:ilvl w:val="0"/>
          <w:numId w:val="18"/>
        </w:numPr>
        <w:jc w:val="both"/>
        <w:rPr>
          <w:lang w:val="en-NZ" w:eastAsia="ko-KR"/>
        </w:rPr>
      </w:pPr>
      <w:r w:rsidRPr="009676CC">
        <w:rPr>
          <w:lang w:val="en-NZ" w:eastAsia="ko-KR"/>
        </w:rPr>
        <w:t xml:space="preserve">Some APT </w:t>
      </w:r>
      <w:r>
        <w:rPr>
          <w:lang w:val="en-NZ" w:eastAsia="ko-KR"/>
        </w:rPr>
        <w:t>M</w:t>
      </w:r>
      <w:r w:rsidRPr="009676CC">
        <w:rPr>
          <w:lang w:val="en-NZ" w:eastAsia="ko-KR"/>
        </w:rPr>
        <w:t>embers support</w:t>
      </w:r>
      <w:r>
        <w:rPr>
          <w:lang w:val="en-NZ" w:eastAsia="ko-KR"/>
        </w:rPr>
        <w:t xml:space="preserve"> the addition</w:t>
      </w:r>
      <w:r w:rsidRPr="009676CC">
        <w:rPr>
          <w:lang w:val="en-NZ" w:eastAsia="ko-KR"/>
        </w:rPr>
        <w:t xml:space="preserve"> </w:t>
      </w:r>
      <w:r>
        <w:rPr>
          <w:lang w:val="en-NZ" w:eastAsia="ko-KR"/>
        </w:rPr>
        <w:t>of a</w:t>
      </w:r>
      <w:r w:rsidRPr="009676CC">
        <w:rPr>
          <w:lang w:val="en-NZ" w:eastAsia="ko-KR"/>
        </w:rPr>
        <w:t xml:space="preserve"> new primary allocation to the maritime mobile-satellite service (Earth-to-space) in the frequency band 157.1875-157.3375 MHz and to the maritime mobile-satellite service (space-to-Earth) in the frequency band 161.7875-161.9375 </w:t>
      </w:r>
      <w:proofErr w:type="spellStart"/>
      <w:r w:rsidRPr="009676CC">
        <w:rPr>
          <w:lang w:val="en-NZ" w:eastAsia="ko-KR"/>
        </w:rPr>
        <w:t>MHz.</w:t>
      </w:r>
      <w:proofErr w:type="spellEnd"/>
    </w:p>
    <w:p w14:paraId="2B8D4DB9" w14:textId="694FDE9A" w:rsidR="005206E9" w:rsidRPr="00441526" w:rsidRDefault="009503FF" w:rsidP="00CB3618">
      <w:pPr>
        <w:pStyle w:val="ListParagraph"/>
        <w:numPr>
          <w:ilvl w:val="0"/>
          <w:numId w:val="18"/>
        </w:numPr>
        <w:rPr>
          <w:lang w:val="en-NZ"/>
        </w:rPr>
      </w:pPr>
      <w:r w:rsidRPr="009A6247">
        <w:rPr>
          <w:rFonts w:eastAsia="MS Mincho"/>
          <w:lang w:val="en-NZ" w:eastAsia="ja-JP"/>
        </w:rPr>
        <w:t xml:space="preserve">Some APT members expressed the view that </w:t>
      </w:r>
      <w:r w:rsidRPr="009A6247">
        <w:rPr>
          <w:lang w:val="en-NZ" w:eastAsia="ko-KR"/>
        </w:rPr>
        <w:t>if studies show difficulties of sharing VDES satellite component uplink and downlink with the systems in the land mobile service, no changes in the Radio Regulations will be proposed to satisfy the agenda item. In this case, using the current allocations for enabling VDES satellite component could be considered.</w:t>
      </w:r>
    </w:p>
    <w:p w14:paraId="280E9D5D" w14:textId="77777777" w:rsidR="002A0111" w:rsidRPr="00441526" w:rsidRDefault="002A0111" w:rsidP="00CB3618">
      <w:pPr>
        <w:spacing w:before="120"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056D7C3F" w14:textId="14F82833" w:rsidR="002A0111" w:rsidRPr="00E46880" w:rsidRDefault="00E46880" w:rsidP="003D3D47">
      <w:pPr>
        <w:jc w:val="both"/>
        <w:rPr>
          <w:lang w:val="en-NZ"/>
        </w:rPr>
      </w:pPr>
      <w:r w:rsidRPr="00E46880">
        <w:rPr>
          <w:lang w:val="en-NZ"/>
        </w:rPr>
        <w:t>APT Members are encouraged to contribute their views</w:t>
      </w:r>
      <w:r w:rsidRPr="00E46880">
        <w:t xml:space="preserve"> </w:t>
      </w:r>
      <w:r>
        <w:rPr>
          <w:lang w:val="en-NZ"/>
        </w:rPr>
        <w:t>including the supporting M</w:t>
      </w:r>
      <w:r w:rsidRPr="00E46880">
        <w:rPr>
          <w:lang w:val="en-NZ"/>
        </w:rPr>
        <w:t>ethod, taking into account ITU-R studies and APT preliminary views, and</w:t>
      </w:r>
      <w:r>
        <w:rPr>
          <w:lang w:val="en-NZ"/>
        </w:rPr>
        <w:t xml:space="preserve"> submit contributions to APG19-4</w:t>
      </w:r>
      <w:r w:rsidRPr="00E46880">
        <w:rPr>
          <w:lang w:val="en-NZ"/>
        </w:rPr>
        <w:t>.</w:t>
      </w:r>
    </w:p>
    <w:p w14:paraId="58AC7E30" w14:textId="77777777" w:rsidR="002A0111" w:rsidRPr="00441526" w:rsidRDefault="002A0111" w:rsidP="003D3D47">
      <w:pPr>
        <w:jc w:val="both"/>
        <w:rPr>
          <w:lang w:val="en-NZ"/>
        </w:rPr>
      </w:pPr>
    </w:p>
    <w:p w14:paraId="54A93426" w14:textId="0F3562E9" w:rsidR="00AC60EE" w:rsidRDefault="002A0111" w:rsidP="00AC60EE">
      <w:pPr>
        <w:jc w:val="both"/>
        <w:rPr>
          <w:b/>
          <w:lang w:val="en-NZ"/>
        </w:rPr>
      </w:pPr>
      <w:r>
        <w:rPr>
          <w:b/>
          <w:lang w:val="en-NZ"/>
        </w:rPr>
        <w:t>7</w:t>
      </w:r>
      <w:r w:rsidRPr="00441526">
        <w:rPr>
          <w:b/>
          <w:lang w:val="en-NZ"/>
        </w:rPr>
        <w:t xml:space="preserve">. </w:t>
      </w:r>
      <w:r w:rsidRPr="00441526">
        <w:rPr>
          <w:b/>
          <w:lang w:val="en-NZ"/>
        </w:rPr>
        <w:tab/>
        <w:t>Views from Other Organisations</w:t>
      </w:r>
    </w:p>
    <w:p w14:paraId="224C89EE" w14:textId="77777777" w:rsidR="002037F7" w:rsidRPr="006F518F" w:rsidRDefault="002037F7" w:rsidP="00AC60EE">
      <w:pPr>
        <w:jc w:val="both"/>
        <w:rPr>
          <w:lang w:val="en-NZ"/>
        </w:rPr>
      </w:pPr>
    </w:p>
    <w:p w14:paraId="3DC33E29" w14:textId="1D0E0FA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6346FD5" w14:textId="75207016"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0441D4" w:rsidRPr="000441D4">
        <w:rPr>
          <w:b/>
          <w:lang w:val="en-NZ" w:eastAsia="ko-KR"/>
        </w:rPr>
        <w:t>19-2/INF-01</w:t>
      </w:r>
    </w:p>
    <w:p w14:paraId="009628FE" w14:textId="7EF23BBA" w:rsidR="002A0111" w:rsidRDefault="00025F53" w:rsidP="002A0111">
      <w:pPr>
        <w:rPr>
          <w:lang w:val="en-NZ"/>
        </w:rPr>
      </w:pPr>
      <w:r w:rsidRPr="00025F53">
        <w:rPr>
          <w:lang w:val="en-NZ"/>
        </w:rPr>
        <w:t>Support the ongoing studies in ITU-R on the development of the necessary protection criteria for the satellite receiving equipment of VDES system while ensuring the protection of services allocated to the candidate frequency bands and adjacent bands.</w:t>
      </w:r>
    </w:p>
    <w:p w14:paraId="2DEA49E7" w14:textId="77777777" w:rsidR="00025F53" w:rsidRPr="00025F53" w:rsidRDefault="00025F53" w:rsidP="002A0111">
      <w:pPr>
        <w:rPr>
          <w:lang w:val="en-NZ"/>
        </w:rPr>
      </w:pPr>
    </w:p>
    <w:p w14:paraId="1BAF4AB4" w14:textId="5ACEE5C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Document APG</w:t>
      </w:r>
      <w:r w:rsidR="000441D4" w:rsidRPr="000441D4">
        <w:rPr>
          <w:b/>
          <w:lang w:val="en-NZ" w:eastAsia="ko-KR"/>
        </w:rPr>
        <w:t>19-2/INF-07</w:t>
      </w:r>
    </w:p>
    <w:p w14:paraId="39CA07A8" w14:textId="6C3195F8" w:rsidR="002A0111" w:rsidRPr="00441526" w:rsidRDefault="00025F53" w:rsidP="002A0111">
      <w:pPr>
        <w:rPr>
          <w:b/>
          <w:lang w:val="en-NZ"/>
        </w:rPr>
      </w:pPr>
      <w:r w:rsidRPr="00025F53">
        <w:rPr>
          <w:lang w:val="en-NZ"/>
        </w:rPr>
        <w:t>No preliminary position on this agenda item yet.</w:t>
      </w:r>
    </w:p>
    <w:p w14:paraId="66EB8B25" w14:textId="77777777" w:rsidR="005206E9" w:rsidRDefault="005206E9" w:rsidP="002A0111">
      <w:pPr>
        <w:spacing w:after="120"/>
        <w:jc w:val="both"/>
        <w:rPr>
          <w:b/>
          <w:lang w:val="en-NZ" w:eastAsia="ko-KR"/>
        </w:rPr>
      </w:pPr>
    </w:p>
    <w:p w14:paraId="16948FAA" w14:textId="3A6AF8EF" w:rsidR="002A0111" w:rsidRPr="00441526" w:rsidRDefault="005206E9" w:rsidP="002A0111">
      <w:pPr>
        <w:spacing w:after="120"/>
        <w:jc w:val="both"/>
        <w:rPr>
          <w:b/>
          <w:lang w:val="en-NZ" w:eastAsia="ko-KR"/>
        </w:rPr>
      </w:pPr>
      <w:r>
        <w:rPr>
          <w:b/>
          <w:lang w:val="en-NZ" w:eastAsia="ko-KR"/>
        </w:rPr>
        <w:lastRenderedPageBreak/>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00466F">
        <w:rPr>
          <w:b/>
          <w:lang w:val="en-NZ" w:eastAsia="ko-KR"/>
        </w:rPr>
        <w:t>Document APG19-3/INF-06</w:t>
      </w:r>
    </w:p>
    <w:p w14:paraId="4F5D9268" w14:textId="77777777" w:rsidR="00DA527D" w:rsidRPr="00DA527D" w:rsidRDefault="00DA527D" w:rsidP="00DA527D">
      <w:pPr>
        <w:rPr>
          <w:lang w:val="en-NZ"/>
        </w:rPr>
      </w:pPr>
      <w:r w:rsidRPr="00DA527D">
        <w:rPr>
          <w:lang w:val="en-NZ"/>
        </w:rPr>
        <w:t>Subject to the results of relevant studies, CEPT is considering three options:</w:t>
      </w:r>
    </w:p>
    <w:p w14:paraId="7A57F335" w14:textId="77777777" w:rsidR="00DA527D" w:rsidRDefault="00DA527D" w:rsidP="00DA527D">
      <w:pPr>
        <w:ind w:left="720" w:hanging="480"/>
        <w:rPr>
          <w:lang w:val="en-NZ"/>
        </w:rPr>
      </w:pPr>
      <w:r>
        <w:rPr>
          <w:lang w:val="en-NZ"/>
        </w:rPr>
        <w:t>a)</w:t>
      </w:r>
      <w:r>
        <w:rPr>
          <w:lang w:val="en-NZ"/>
        </w:rPr>
        <w:tab/>
      </w:r>
      <w:r w:rsidRPr="00DA527D">
        <w:rPr>
          <w:lang w:val="en-NZ"/>
        </w:rPr>
        <w:t>the introduction of a new maritime mobile-satellite (space-to-Earth) service allocation within the frequency bands</w:t>
      </w:r>
      <w:r>
        <w:rPr>
          <w:lang w:val="en-NZ"/>
        </w:rPr>
        <w:t xml:space="preserve"> </w:t>
      </w:r>
      <w:r w:rsidRPr="00DA527D">
        <w:rPr>
          <w:lang w:val="en-NZ"/>
        </w:rPr>
        <w:t xml:space="preserve">160.9625-161.4875 MHz which is not channelized in RR Appendix </w:t>
      </w:r>
      <w:r w:rsidRPr="00997DDD">
        <w:rPr>
          <w:b/>
          <w:lang w:val="en-NZ"/>
        </w:rPr>
        <w:t>18</w:t>
      </w:r>
      <w:r w:rsidRPr="00DA527D">
        <w:rPr>
          <w:lang w:val="en-NZ"/>
        </w:rPr>
        <w:t xml:space="preserve"> and the introduction of a new maritime</w:t>
      </w:r>
      <w:r>
        <w:rPr>
          <w:lang w:val="en-NZ"/>
        </w:rPr>
        <w:t xml:space="preserve"> </w:t>
      </w:r>
      <w:r w:rsidRPr="00DA527D">
        <w:rPr>
          <w:lang w:val="en-NZ"/>
        </w:rPr>
        <w:t xml:space="preserve">mobile-satellite (Earth-to-space) service allocation for the channels 24, 84, 25, 85, 26 and 86 of RR Appendix </w:t>
      </w:r>
      <w:r w:rsidRPr="00997DDD">
        <w:rPr>
          <w:b/>
          <w:lang w:val="en-NZ"/>
        </w:rPr>
        <w:t>18</w:t>
      </w:r>
      <w:r w:rsidRPr="00DA527D">
        <w:rPr>
          <w:lang w:val="en-NZ"/>
        </w:rPr>
        <w:t>;</w:t>
      </w:r>
    </w:p>
    <w:p w14:paraId="0EFD3272" w14:textId="77777777" w:rsidR="00DA527D" w:rsidRDefault="00DA527D" w:rsidP="00DA527D">
      <w:pPr>
        <w:ind w:left="720" w:hanging="480"/>
        <w:rPr>
          <w:lang w:val="en-NZ"/>
        </w:rPr>
      </w:pPr>
      <w:r>
        <w:rPr>
          <w:lang w:val="en-NZ"/>
        </w:rPr>
        <w:t>b)</w:t>
      </w:r>
      <w:r>
        <w:rPr>
          <w:lang w:val="en-NZ"/>
        </w:rPr>
        <w:tab/>
      </w:r>
      <w:r w:rsidRPr="00DA527D">
        <w:rPr>
          <w:lang w:val="en-NZ"/>
        </w:rPr>
        <w:t>the introduction of a new maritime mobile satellite service for the channels 1024, 1084, 1025, 1085, 1026, 1086</w:t>
      </w:r>
      <w:r>
        <w:rPr>
          <w:lang w:val="en-NZ"/>
        </w:rPr>
        <w:t xml:space="preserve"> </w:t>
      </w:r>
      <w:r w:rsidRPr="00DA527D">
        <w:rPr>
          <w:lang w:val="en-NZ"/>
        </w:rPr>
        <w:t xml:space="preserve">(Earth-to-space) of RR Appendix </w:t>
      </w:r>
      <w:r w:rsidRPr="00997DDD">
        <w:rPr>
          <w:b/>
          <w:lang w:val="en-NZ"/>
        </w:rPr>
        <w:t>18</w:t>
      </w:r>
      <w:r w:rsidRPr="00DA527D">
        <w:rPr>
          <w:lang w:val="en-NZ"/>
        </w:rPr>
        <w:t xml:space="preserve"> and for the channels 2024, 2084, 2025, 2085, 2026 and 2086 (space-to-Earth)</w:t>
      </w:r>
      <w:r>
        <w:rPr>
          <w:lang w:val="en-NZ"/>
        </w:rPr>
        <w:t xml:space="preserve"> </w:t>
      </w:r>
      <w:r w:rsidRPr="00DA527D">
        <w:rPr>
          <w:lang w:val="en-NZ"/>
        </w:rPr>
        <w:t xml:space="preserve">of RR Appendix </w:t>
      </w:r>
      <w:r w:rsidRPr="00997DDD">
        <w:rPr>
          <w:b/>
          <w:lang w:val="en-NZ"/>
        </w:rPr>
        <w:t>18</w:t>
      </w:r>
      <w:r w:rsidRPr="00DA527D">
        <w:rPr>
          <w:lang w:val="en-NZ"/>
        </w:rPr>
        <w:t>;</w:t>
      </w:r>
    </w:p>
    <w:p w14:paraId="3B6F1441" w14:textId="1509E21F" w:rsidR="002A0111" w:rsidRDefault="00DA527D" w:rsidP="00DA527D">
      <w:pPr>
        <w:ind w:left="720" w:hanging="480"/>
        <w:rPr>
          <w:lang w:val="en-NZ"/>
        </w:rPr>
      </w:pPr>
      <w:r>
        <w:rPr>
          <w:lang w:val="en-NZ"/>
        </w:rPr>
        <w:t>c)</w:t>
      </w:r>
      <w:r>
        <w:rPr>
          <w:lang w:val="en-NZ"/>
        </w:rPr>
        <w:tab/>
      </w:r>
      <w:proofErr w:type="gramStart"/>
      <w:r w:rsidRPr="00DA527D">
        <w:rPr>
          <w:lang w:val="en-NZ"/>
        </w:rPr>
        <w:t>frequency</w:t>
      </w:r>
      <w:proofErr w:type="gramEnd"/>
      <w:r w:rsidRPr="00DA527D">
        <w:rPr>
          <w:lang w:val="en-NZ"/>
        </w:rPr>
        <w:t xml:space="preserve"> bands out of RR Appendix </w:t>
      </w:r>
      <w:r w:rsidRPr="00997DDD">
        <w:rPr>
          <w:b/>
          <w:lang w:val="en-NZ"/>
        </w:rPr>
        <w:t>18</w:t>
      </w:r>
      <w:r w:rsidRPr="00DA527D">
        <w:rPr>
          <w:lang w:val="en-NZ"/>
        </w:rPr>
        <w:t xml:space="preserve"> (for example in the frequency range 162 MHz to 172 MHz) for introduction</w:t>
      </w:r>
      <w:r>
        <w:rPr>
          <w:lang w:val="en-NZ"/>
        </w:rPr>
        <w:t xml:space="preserve"> </w:t>
      </w:r>
      <w:r w:rsidRPr="00DA527D">
        <w:rPr>
          <w:lang w:val="en-NZ"/>
        </w:rPr>
        <w:t>of VDES satellite component provided that sharing with the incumbent services is feasible.</w:t>
      </w:r>
    </w:p>
    <w:p w14:paraId="2E2C699C" w14:textId="77777777" w:rsidR="00DA527D" w:rsidRPr="00441526" w:rsidRDefault="00DA527D" w:rsidP="00DA527D">
      <w:pPr>
        <w:rPr>
          <w:lang w:val="en-NZ"/>
        </w:rPr>
      </w:pPr>
    </w:p>
    <w:p w14:paraId="2F68DA08" w14:textId="1BD3C07B"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00466F">
        <w:rPr>
          <w:b/>
          <w:lang w:val="en-NZ" w:eastAsia="ko-KR"/>
        </w:rPr>
        <w:t>Document APG19-3/INF-08</w:t>
      </w:r>
      <w:r w:rsidR="00660895" w:rsidRPr="00660895">
        <w:rPr>
          <w:b/>
          <w:lang w:val="en-NZ" w:eastAsia="ko-KR"/>
        </w:rPr>
        <w:t>(Rev.1)</w:t>
      </w:r>
    </w:p>
    <w:p w14:paraId="0B2B73B2" w14:textId="5045DD6D" w:rsidR="00DA527D" w:rsidRPr="002037F7" w:rsidRDefault="00BB1E6B" w:rsidP="002037F7">
      <w:pPr>
        <w:jc w:val="both"/>
        <w:rPr>
          <w:color w:val="000000" w:themeColor="text1"/>
          <w:lang w:val="en-NZ"/>
        </w:rPr>
      </w:pPr>
      <w:r w:rsidRPr="002037F7">
        <w:rPr>
          <w:color w:val="000000" w:themeColor="text1"/>
          <w:lang w:val="en-NZ"/>
        </w:rPr>
        <w:t>Preliminary views from a few countries support studies.</w:t>
      </w:r>
      <w:r w:rsidR="00B06133" w:rsidRPr="002037F7">
        <w:rPr>
          <w:color w:val="000000" w:themeColor="text1"/>
          <w:lang w:val="en-NZ"/>
        </w:rPr>
        <w:t xml:space="preserve"> These studies should also take into account the protection of existing terrestrial services which operate in these and adjacent frequency bands</w:t>
      </w:r>
      <w:r w:rsidR="00B06133" w:rsidRPr="002037F7">
        <w:rPr>
          <w:i/>
          <w:color w:val="000000" w:themeColor="text1"/>
          <w:lang w:val="en-NZ"/>
        </w:rPr>
        <w:t>.</w:t>
      </w:r>
      <w:r w:rsidR="00B06133" w:rsidRPr="002037F7">
        <w:rPr>
          <w:i/>
          <w:color w:val="000000" w:themeColor="text1"/>
          <w:sz w:val="22"/>
          <w:szCs w:val="22"/>
          <w:lang w:val="en-NZ"/>
        </w:rPr>
        <w:t xml:space="preserve"> </w:t>
      </w:r>
      <w:r w:rsidRPr="002037F7">
        <w:rPr>
          <w:color w:val="000000" w:themeColor="text1"/>
          <w:lang w:val="en-NZ"/>
        </w:rPr>
        <w:t xml:space="preserve">  One country is of the view that additional frequency plans should be explored and </w:t>
      </w:r>
      <w:r w:rsidR="00B06133" w:rsidRPr="002037F7">
        <w:rPr>
          <w:color w:val="000000" w:themeColor="text1"/>
          <w:lang w:val="en-NZ"/>
        </w:rPr>
        <w:t>the VDES channel plan should co</w:t>
      </w:r>
      <w:bookmarkStart w:id="3" w:name="_GoBack"/>
      <w:bookmarkEnd w:id="3"/>
      <w:r w:rsidR="00B06133" w:rsidRPr="002037F7">
        <w:rPr>
          <w:color w:val="000000" w:themeColor="text1"/>
          <w:lang w:val="en-NZ"/>
        </w:rPr>
        <w:t>nsider frequencies designated for AMRDs under agenda item 1.9.1</w:t>
      </w:r>
      <w:r w:rsidR="00B06133" w:rsidRPr="002037F7">
        <w:rPr>
          <w:color w:val="000000" w:themeColor="text1"/>
          <w:sz w:val="22"/>
          <w:szCs w:val="22"/>
          <w:lang w:val="en-NZ"/>
        </w:rPr>
        <w:t>.</w:t>
      </w:r>
    </w:p>
    <w:p w14:paraId="1F9B2D43" w14:textId="77777777" w:rsidR="007519F4" w:rsidRDefault="007519F4" w:rsidP="002A0111">
      <w:pPr>
        <w:spacing w:after="120"/>
        <w:jc w:val="both"/>
        <w:rPr>
          <w:b/>
          <w:lang w:val="en-NZ" w:eastAsia="ko-KR"/>
        </w:rPr>
      </w:pPr>
    </w:p>
    <w:p w14:paraId="409E3103" w14:textId="3F10D75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0441D4" w:rsidRPr="000441D4">
        <w:rPr>
          <w:b/>
          <w:lang w:val="en-NZ" w:eastAsia="ko-KR"/>
        </w:rPr>
        <w:t>19-2/INF-05</w:t>
      </w:r>
    </w:p>
    <w:p w14:paraId="7FD9582B" w14:textId="08FA5895" w:rsidR="002A0111" w:rsidRPr="00441526" w:rsidRDefault="00025F53" w:rsidP="002A0111">
      <w:pPr>
        <w:rPr>
          <w:lang w:val="en-NZ"/>
        </w:rPr>
      </w:pPr>
      <w:r w:rsidRPr="00025F53">
        <w:rPr>
          <w:lang w:val="en-NZ"/>
        </w:rPr>
        <w:t>The RCC Administrations consider that introduction of the VDES satellite component shall not result in imposing constraints on existing and planned systems of services which have allocations in the common and adjacent frequency bands.</w:t>
      </w:r>
    </w:p>
    <w:p w14:paraId="501873A3" w14:textId="77777777" w:rsidR="002A0111" w:rsidRPr="00441526" w:rsidRDefault="002A0111" w:rsidP="002A0111">
      <w:pPr>
        <w:rPr>
          <w:lang w:val="en-NZ"/>
        </w:rPr>
      </w:pPr>
    </w:p>
    <w:p w14:paraId="55192488" w14:textId="1E0656A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409B59F6" w14:textId="7B011F6D"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IARU</w:t>
      </w:r>
    </w:p>
    <w:p w14:paraId="2D9D6EB4" w14:textId="17E9D633" w:rsidR="002A0111" w:rsidRDefault="009A6247" w:rsidP="002A0111">
      <w:pPr>
        <w:rPr>
          <w:lang w:val="en-NZ"/>
        </w:rPr>
      </w:pPr>
      <w:r w:rsidRPr="00464F75">
        <w:rPr>
          <w:lang w:val="en-NZ" w:eastAsia="ko-KR"/>
        </w:rPr>
        <w:t>No</w:t>
      </w:r>
      <w:r>
        <w:rPr>
          <w:lang w:val="en-NZ" w:eastAsia="ko-KR"/>
        </w:rPr>
        <w:t xml:space="preserve"> contribution covering this Agenda Item</w:t>
      </w:r>
      <w:r w:rsidRPr="006327D9" w:rsidDel="009A6247">
        <w:rPr>
          <w:highlight w:val="cyan"/>
          <w:lang w:val="en-NZ"/>
        </w:rPr>
        <w:t xml:space="preserve"> </w:t>
      </w:r>
    </w:p>
    <w:p w14:paraId="02FF84B7" w14:textId="77777777" w:rsidR="0000466F" w:rsidRPr="0000466F" w:rsidRDefault="0000466F" w:rsidP="002A0111">
      <w:pPr>
        <w:rPr>
          <w:lang w:val="en-NZ"/>
        </w:rPr>
      </w:pPr>
    </w:p>
    <w:p w14:paraId="0BACCCD4" w14:textId="16FE17F6" w:rsidR="002A0111" w:rsidRPr="0000466F" w:rsidRDefault="005206E9" w:rsidP="002A0111">
      <w:pPr>
        <w:spacing w:after="120"/>
        <w:jc w:val="both"/>
        <w:rPr>
          <w:b/>
          <w:lang w:val="en-NZ" w:eastAsia="ko-KR"/>
        </w:rPr>
      </w:pPr>
      <w:r w:rsidRPr="0000466F">
        <w:rPr>
          <w:b/>
          <w:lang w:val="en-NZ" w:eastAsia="ko-KR"/>
        </w:rPr>
        <w:t>7</w:t>
      </w:r>
      <w:r w:rsidR="002A0111" w:rsidRPr="0000466F">
        <w:rPr>
          <w:b/>
          <w:lang w:val="en-NZ" w:eastAsia="ko-KR"/>
        </w:rPr>
        <w:t xml:space="preserve">.2.2 </w:t>
      </w:r>
      <w:r w:rsidR="002A0111" w:rsidRPr="0000466F">
        <w:rPr>
          <w:b/>
          <w:lang w:val="en-NZ" w:eastAsia="ko-KR"/>
        </w:rPr>
        <w:tab/>
        <w:t>ICAO</w:t>
      </w:r>
      <w:r w:rsidR="000441D4" w:rsidRPr="000441D4">
        <w:rPr>
          <w:b/>
          <w:lang w:val="en-NZ" w:eastAsia="ko-KR"/>
        </w:rPr>
        <w:t xml:space="preserve"> - Document APG19-2/INF-02</w:t>
      </w:r>
    </w:p>
    <w:p w14:paraId="4BB34B8F" w14:textId="0428F197" w:rsidR="002A0111" w:rsidRPr="00441526" w:rsidRDefault="00025F53" w:rsidP="002A0111">
      <w:pPr>
        <w:jc w:val="both"/>
        <w:rPr>
          <w:lang w:val="en-NZ"/>
        </w:rPr>
      </w:pPr>
      <w:r w:rsidRPr="00025F53">
        <w:rPr>
          <w:lang w:val="en-NZ"/>
        </w:rPr>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p w14:paraId="38669673" w14:textId="5D8F01C8" w:rsidR="002A0111" w:rsidRDefault="002A0111" w:rsidP="002A0111">
      <w:pPr>
        <w:rPr>
          <w:b/>
          <w:lang w:val="en-NZ"/>
        </w:rPr>
      </w:pPr>
    </w:p>
    <w:p w14:paraId="52443963" w14:textId="77777777" w:rsidR="007519F4" w:rsidRDefault="007519F4" w:rsidP="002A0111">
      <w:pPr>
        <w:rPr>
          <w:b/>
          <w:lang w:val="en-NZ"/>
        </w:rPr>
      </w:pPr>
    </w:p>
    <w:p w14:paraId="52A68A06" w14:textId="77777777" w:rsidR="002A0111" w:rsidRPr="00710333" w:rsidRDefault="002A0111" w:rsidP="002A0111">
      <w:pPr>
        <w:jc w:val="center"/>
        <w:rPr>
          <w:snapToGrid w:val="0"/>
          <w:lang w:val="en-NZ"/>
        </w:rPr>
      </w:pPr>
      <w:r w:rsidRPr="00441526">
        <w:rPr>
          <w:lang w:val="en-NZ"/>
        </w:rPr>
        <w:t>____________</w:t>
      </w:r>
    </w:p>
    <w:p w14:paraId="3F3F0572" w14:textId="13D8696A" w:rsidR="00654896" w:rsidRPr="002A0111" w:rsidRDefault="002A0111" w:rsidP="002A0111">
      <w:pPr>
        <w:tabs>
          <w:tab w:val="left" w:pos="1410"/>
        </w:tabs>
        <w:rPr>
          <w:lang w:val="en-NZ"/>
        </w:rPr>
      </w:pPr>
      <w:r>
        <w:rPr>
          <w:lang w:val="en-NZ"/>
        </w:rPr>
        <w:tab/>
      </w:r>
    </w:p>
    <w:sectPr w:rsidR="00654896" w:rsidRPr="002A0111" w:rsidSect="0092727B">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24253" w14:textId="77777777" w:rsidR="00840131" w:rsidRDefault="00840131">
      <w:r>
        <w:separator/>
      </w:r>
    </w:p>
  </w:endnote>
  <w:endnote w:type="continuationSeparator" w:id="0">
    <w:p w14:paraId="417A6CAD" w14:textId="77777777" w:rsidR="00840131" w:rsidRDefault="0084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315781" w:rsidRDefault="00315781"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315781" w:rsidRDefault="00315781"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42FBA474" w:rsidR="00315781" w:rsidRDefault="00315781" w:rsidP="0092727B">
    <w:pPr>
      <w:pStyle w:val="Footer"/>
      <w:tabs>
        <w:tab w:val="clear" w:pos="4320"/>
        <w:tab w:val="clear" w:pos="8640"/>
        <w:tab w:val="right" w:pos="9180"/>
      </w:tabs>
      <w:ind w:right="-7"/>
    </w:pPr>
    <w:r>
      <w:rPr>
        <w:rFonts w:hint="eastAsia"/>
        <w:lang w:eastAsia="ko-KR"/>
      </w:rPr>
      <w:t>A</w:t>
    </w:r>
    <w:r w:rsidR="00935FA9">
      <w:rPr>
        <w:lang w:eastAsia="ko-KR"/>
      </w:rPr>
      <w:t>PG19-3/OUT-40</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037F7">
      <w:rPr>
        <w:rStyle w:val="PageNumber"/>
        <w:noProof/>
      </w:rPr>
      <w:t>7</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037F7">
      <w:rPr>
        <w:rStyle w:val="PageNumber"/>
        <w:noProof/>
      </w:rPr>
      <w:t>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CB3618" w14:paraId="0B205AD6" w14:textId="77777777" w:rsidTr="00BB0EA4">
      <w:trPr>
        <w:trHeight w:val="432"/>
      </w:trPr>
      <w:tc>
        <w:tcPr>
          <w:tcW w:w="1296" w:type="dxa"/>
          <w:tcBorders>
            <w:top w:val="single" w:sz="8" w:space="0" w:color="auto"/>
            <w:bottom w:val="nil"/>
            <w:right w:val="nil"/>
          </w:tcBorders>
        </w:tcPr>
        <w:p w14:paraId="35495BFB" w14:textId="6A7B5065" w:rsidR="00CB3618" w:rsidRDefault="00CB3618" w:rsidP="00CB3618">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3A92BA4" w14:textId="77777777" w:rsidR="00CB3618" w:rsidRDefault="00CB3618" w:rsidP="00CB3618">
          <w:pPr>
            <w:pStyle w:val="Footer"/>
            <w:tabs>
              <w:tab w:val="clear" w:pos="4320"/>
              <w:tab w:val="clear" w:pos="8640"/>
            </w:tabs>
          </w:pPr>
          <w:r>
            <w:rPr>
              <w:rFonts w:hint="eastAsia"/>
              <w:lang w:eastAsia="ko-KR"/>
            </w:rPr>
            <w:t xml:space="preserve">Mr. </w:t>
          </w:r>
          <w:r>
            <w:rPr>
              <w:lang w:eastAsia="ko-KR"/>
            </w:rPr>
            <w:t>Bui Ha Long</w:t>
          </w:r>
        </w:p>
        <w:p w14:paraId="5A5A826D" w14:textId="3BFC21B3" w:rsidR="00CB3618" w:rsidRPr="002A0111" w:rsidRDefault="00CB3618" w:rsidP="00CB3618">
          <w:pPr>
            <w:pStyle w:val="Footer"/>
            <w:tabs>
              <w:tab w:val="clear" w:pos="4320"/>
              <w:tab w:val="clear" w:pos="8640"/>
            </w:tabs>
          </w:pPr>
          <w:r>
            <w:t>Chairman, WP 5</w:t>
          </w:r>
        </w:p>
      </w:tc>
      <w:tc>
        <w:tcPr>
          <w:tcW w:w="2880" w:type="dxa"/>
          <w:tcBorders>
            <w:top w:val="single" w:sz="8" w:space="0" w:color="auto"/>
            <w:left w:val="nil"/>
            <w:bottom w:val="nil"/>
          </w:tcBorders>
        </w:tcPr>
        <w:p w14:paraId="5D4A6C0F" w14:textId="34DAA4B5" w:rsidR="00CB3618" w:rsidRPr="0092727B" w:rsidRDefault="00CB3618" w:rsidP="00CB3618">
          <w:pPr>
            <w:pStyle w:val="Footer"/>
            <w:tabs>
              <w:tab w:val="clear" w:pos="4320"/>
              <w:tab w:val="clear" w:pos="8640"/>
            </w:tabs>
          </w:pPr>
          <w:r>
            <w:t>E-mail: longbh@rfd.gov.vn</w:t>
          </w:r>
        </w:p>
      </w:tc>
    </w:tr>
  </w:tbl>
  <w:p w14:paraId="2E0E6781" w14:textId="64F17CD3" w:rsidR="00315781" w:rsidRDefault="00315781"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FD0BD" w14:textId="77777777" w:rsidR="00840131" w:rsidRDefault="00840131">
      <w:r>
        <w:separator/>
      </w:r>
    </w:p>
  </w:footnote>
  <w:footnote w:type="continuationSeparator" w:id="0">
    <w:p w14:paraId="51886533" w14:textId="77777777" w:rsidR="00840131" w:rsidRDefault="00840131">
      <w:r>
        <w:continuationSeparator/>
      </w:r>
    </w:p>
  </w:footnote>
  <w:footnote w:id="1">
    <w:p w14:paraId="6E329C51" w14:textId="3E0D97FE" w:rsidR="00315781" w:rsidRDefault="00315781">
      <w:pPr>
        <w:pStyle w:val="FootnoteText"/>
      </w:pPr>
      <w:r>
        <w:rPr>
          <w:rStyle w:val="FootnoteReference"/>
        </w:rPr>
        <w:footnoteRef/>
      </w:r>
      <w:r>
        <w:t xml:space="preserve"> Please note that the term ‘Issues/issues’ should not be confused with Issues in WRC-19 Agenda Items 7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315781" w:rsidRDefault="00315781" w:rsidP="0092727B">
    <w:pPr>
      <w:pStyle w:val="Header"/>
      <w:tabs>
        <w:tab w:val="clear" w:pos="4320"/>
        <w:tab w:val="clear" w:pos="8640"/>
      </w:tabs>
      <w:rPr>
        <w:lang w:eastAsia="ko-KR"/>
      </w:rPr>
    </w:pPr>
  </w:p>
  <w:p w14:paraId="2E0E6779" w14:textId="77777777" w:rsidR="00315781" w:rsidRDefault="00315781"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315781" w:rsidRDefault="00315781"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9476237"/>
    <w:multiLevelType w:val="hybridMultilevel"/>
    <w:tmpl w:val="A676A3B6"/>
    <w:lvl w:ilvl="0" w:tplc="1A72D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39475C"/>
    <w:multiLevelType w:val="multilevel"/>
    <w:tmpl w:val="AA74A4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A8F34F1"/>
    <w:multiLevelType w:val="hybridMultilevel"/>
    <w:tmpl w:val="6A0E2BA2"/>
    <w:lvl w:ilvl="0" w:tplc="6DFCF1DE">
      <w:start w:val="2"/>
      <w:numFmt w:val="bullet"/>
      <w:lvlText w:val="-"/>
      <w:lvlJc w:val="left"/>
      <w:pPr>
        <w:ind w:left="768" w:hanging="420"/>
      </w:pPr>
      <w:rPr>
        <w:rFonts w:ascii="Times New Roman" w:eastAsia="BatangChe" w:hAnsi="Times New Roman" w:cs="Times New Roman" w:hint="default"/>
      </w:rPr>
    </w:lvl>
    <w:lvl w:ilvl="1" w:tplc="04090003" w:tentative="1">
      <w:start w:val="1"/>
      <w:numFmt w:val="bullet"/>
      <w:lvlText w:val=""/>
      <w:lvlJc w:val="left"/>
      <w:pPr>
        <w:ind w:left="1188" w:hanging="420"/>
      </w:pPr>
      <w:rPr>
        <w:rFonts w:ascii="Wingdings" w:hAnsi="Wingdings" w:hint="default"/>
      </w:rPr>
    </w:lvl>
    <w:lvl w:ilvl="2" w:tplc="04090005"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3" w:tentative="1">
      <w:start w:val="1"/>
      <w:numFmt w:val="bullet"/>
      <w:lvlText w:val=""/>
      <w:lvlJc w:val="left"/>
      <w:pPr>
        <w:ind w:left="2448" w:hanging="420"/>
      </w:pPr>
      <w:rPr>
        <w:rFonts w:ascii="Wingdings" w:hAnsi="Wingdings" w:hint="default"/>
      </w:rPr>
    </w:lvl>
    <w:lvl w:ilvl="5" w:tplc="04090005"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3" w:tentative="1">
      <w:start w:val="1"/>
      <w:numFmt w:val="bullet"/>
      <w:lvlText w:val=""/>
      <w:lvlJc w:val="left"/>
      <w:pPr>
        <w:ind w:left="3708" w:hanging="420"/>
      </w:pPr>
      <w:rPr>
        <w:rFonts w:ascii="Wingdings" w:hAnsi="Wingdings" w:hint="default"/>
      </w:rPr>
    </w:lvl>
    <w:lvl w:ilvl="8" w:tplc="04090005" w:tentative="1">
      <w:start w:val="1"/>
      <w:numFmt w:val="bullet"/>
      <w:lvlText w:val=""/>
      <w:lvlJc w:val="left"/>
      <w:pPr>
        <w:ind w:left="4128" w:hanging="420"/>
      </w:pPr>
      <w:rPr>
        <w:rFonts w:ascii="Wingdings" w:hAnsi="Wingdings" w:hint="default"/>
      </w:rPr>
    </w:lvl>
  </w:abstractNum>
  <w:abstractNum w:abstractNumId="14" w15:restartNumberingAfterBreak="0">
    <w:nsid w:val="3BBE1A4D"/>
    <w:multiLevelType w:val="hybridMultilevel"/>
    <w:tmpl w:val="40A2DAA0"/>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A01545"/>
    <w:multiLevelType w:val="hybridMultilevel"/>
    <w:tmpl w:val="5C861448"/>
    <w:lvl w:ilvl="0" w:tplc="A114EBFA">
      <w:start w:val="1"/>
      <w:numFmt w:val="bullet"/>
      <w:lvlText w:val="-"/>
      <w:lvlJc w:val="left"/>
      <w:pPr>
        <w:ind w:left="281" w:hanging="360"/>
      </w:pPr>
      <w:rPr>
        <w:rFonts w:ascii="Malgun Gothic" w:eastAsia="Malgun Gothic" w:hAnsi="Malgun Gothic" w:cstheme="minorBidi" w:hint="eastAsia"/>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B343627"/>
    <w:multiLevelType w:val="hybridMultilevel"/>
    <w:tmpl w:val="4BF2D8B6"/>
    <w:lvl w:ilvl="0" w:tplc="A114EBFA">
      <w:start w:val="1"/>
      <w:numFmt w:val="bullet"/>
      <w:lvlText w:val="-"/>
      <w:lvlJc w:val="left"/>
      <w:pPr>
        <w:ind w:left="281" w:hanging="360"/>
      </w:pPr>
      <w:rPr>
        <w:rFonts w:ascii="Malgun Gothic" w:eastAsia="Malgun Gothic" w:hAnsi="Malgun Gothic" w:cstheme="minorBidi" w:hint="eastAsia"/>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748E1"/>
    <w:multiLevelType w:val="hybridMultilevel"/>
    <w:tmpl w:val="2F180B9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69815688"/>
    <w:multiLevelType w:val="hybridMultilevel"/>
    <w:tmpl w:val="ED4636DA"/>
    <w:lvl w:ilvl="0" w:tplc="E2DE1E04">
      <w:start w:val="1"/>
      <w:numFmt w:val="bullet"/>
      <w:lvlText w:val="–"/>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7"/>
  </w:num>
  <w:num w:numId="3">
    <w:abstractNumId w:val="6"/>
  </w:num>
  <w:num w:numId="4">
    <w:abstractNumId w:val="22"/>
  </w:num>
  <w:num w:numId="5">
    <w:abstractNumId w:val="10"/>
  </w:num>
  <w:num w:numId="6">
    <w:abstractNumId w:val="12"/>
  </w:num>
  <w:num w:numId="7">
    <w:abstractNumId w:val="4"/>
  </w:num>
  <w:num w:numId="8">
    <w:abstractNumId w:val="1"/>
  </w:num>
  <w:num w:numId="9">
    <w:abstractNumId w:val="25"/>
  </w:num>
  <w:num w:numId="10">
    <w:abstractNumId w:val="19"/>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17"/>
  </w:num>
  <w:num w:numId="18">
    <w:abstractNumId w:val="14"/>
  </w:num>
  <w:num w:numId="19">
    <w:abstractNumId w:val="24"/>
  </w:num>
  <w:num w:numId="20">
    <w:abstractNumId w:val="9"/>
  </w:num>
  <w:num w:numId="21">
    <w:abstractNumId w:val="23"/>
  </w:num>
  <w:num w:numId="22">
    <w:abstractNumId w:val="27"/>
  </w:num>
  <w:num w:numId="23">
    <w:abstractNumId w:val="13"/>
  </w:num>
  <w:num w:numId="24">
    <w:abstractNumId w:val="21"/>
  </w:num>
  <w:num w:numId="25">
    <w:abstractNumId w:val="2"/>
  </w:num>
  <w:num w:numId="26">
    <w:abstractNumId w:val="3"/>
  </w:num>
  <w:num w:numId="27">
    <w:abstractNumId w:val="20"/>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466F"/>
    <w:rsid w:val="00004796"/>
    <w:rsid w:val="00010C8E"/>
    <w:rsid w:val="00011317"/>
    <w:rsid w:val="00025F53"/>
    <w:rsid w:val="0003595B"/>
    <w:rsid w:val="00036517"/>
    <w:rsid w:val="00036CC9"/>
    <w:rsid w:val="00037A67"/>
    <w:rsid w:val="00040149"/>
    <w:rsid w:val="000441D4"/>
    <w:rsid w:val="00070642"/>
    <w:rsid w:val="000713CF"/>
    <w:rsid w:val="00075723"/>
    <w:rsid w:val="00075C14"/>
    <w:rsid w:val="000822B5"/>
    <w:rsid w:val="00094B87"/>
    <w:rsid w:val="000A012B"/>
    <w:rsid w:val="000A5418"/>
    <w:rsid w:val="000D47FB"/>
    <w:rsid w:val="000F345F"/>
    <w:rsid w:val="000F517C"/>
    <w:rsid w:val="000F5540"/>
    <w:rsid w:val="00105F1A"/>
    <w:rsid w:val="0010634B"/>
    <w:rsid w:val="00125FBD"/>
    <w:rsid w:val="00137005"/>
    <w:rsid w:val="001409B2"/>
    <w:rsid w:val="00152636"/>
    <w:rsid w:val="001539DD"/>
    <w:rsid w:val="00156782"/>
    <w:rsid w:val="0016152C"/>
    <w:rsid w:val="00164172"/>
    <w:rsid w:val="00165F01"/>
    <w:rsid w:val="001731F4"/>
    <w:rsid w:val="00187155"/>
    <w:rsid w:val="001916F2"/>
    <w:rsid w:val="001930A7"/>
    <w:rsid w:val="00196568"/>
    <w:rsid w:val="00197C18"/>
    <w:rsid w:val="001A1238"/>
    <w:rsid w:val="001A2F16"/>
    <w:rsid w:val="001B1804"/>
    <w:rsid w:val="001B18C2"/>
    <w:rsid w:val="001C443F"/>
    <w:rsid w:val="001C61A5"/>
    <w:rsid w:val="001C6707"/>
    <w:rsid w:val="001D1419"/>
    <w:rsid w:val="001D5D7E"/>
    <w:rsid w:val="001F5947"/>
    <w:rsid w:val="00202410"/>
    <w:rsid w:val="002037F7"/>
    <w:rsid w:val="00214A0C"/>
    <w:rsid w:val="002155D8"/>
    <w:rsid w:val="0021588B"/>
    <w:rsid w:val="002161B6"/>
    <w:rsid w:val="002216AC"/>
    <w:rsid w:val="00230A50"/>
    <w:rsid w:val="002421D6"/>
    <w:rsid w:val="002475E2"/>
    <w:rsid w:val="002506D2"/>
    <w:rsid w:val="00250DE2"/>
    <w:rsid w:val="00254A1B"/>
    <w:rsid w:val="0026064A"/>
    <w:rsid w:val="00264566"/>
    <w:rsid w:val="002757E9"/>
    <w:rsid w:val="0028454D"/>
    <w:rsid w:val="00291C9E"/>
    <w:rsid w:val="002926D4"/>
    <w:rsid w:val="0029734E"/>
    <w:rsid w:val="002A0111"/>
    <w:rsid w:val="002A3CF5"/>
    <w:rsid w:val="002B06A3"/>
    <w:rsid w:val="002B435C"/>
    <w:rsid w:val="002B447F"/>
    <w:rsid w:val="002C07DA"/>
    <w:rsid w:val="002C2A49"/>
    <w:rsid w:val="002C7EA9"/>
    <w:rsid w:val="002D372C"/>
    <w:rsid w:val="002F575D"/>
    <w:rsid w:val="002F722A"/>
    <w:rsid w:val="003113D7"/>
    <w:rsid w:val="00311E8A"/>
    <w:rsid w:val="00315781"/>
    <w:rsid w:val="00342F20"/>
    <w:rsid w:val="00347757"/>
    <w:rsid w:val="00360377"/>
    <w:rsid w:val="00366548"/>
    <w:rsid w:val="0038005B"/>
    <w:rsid w:val="003809C7"/>
    <w:rsid w:val="0038236C"/>
    <w:rsid w:val="0039117A"/>
    <w:rsid w:val="00393DCD"/>
    <w:rsid w:val="00394287"/>
    <w:rsid w:val="00395B40"/>
    <w:rsid w:val="003A2006"/>
    <w:rsid w:val="003A6568"/>
    <w:rsid w:val="003B4FD1"/>
    <w:rsid w:val="003B6263"/>
    <w:rsid w:val="003C29E6"/>
    <w:rsid w:val="003C3954"/>
    <w:rsid w:val="003C4B10"/>
    <w:rsid w:val="003C64A7"/>
    <w:rsid w:val="003D1128"/>
    <w:rsid w:val="003D1671"/>
    <w:rsid w:val="003D3D47"/>
    <w:rsid w:val="003D3FDA"/>
    <w:rsid w:val="003D6D00"/>
    <w:rsid w:val="003E166F"/>
    <w:rsid w:val="003F307E"/>
    <w:rsid w:val="003F4C97"/>
    <w:rsid w:val="004001E5"/>
    <w:rsid w:val="004022A8"/>
    <w:rsid w:val="004109A5"/>
    <w:rsid w:val="0041313C"/>
    <w:rsid w:val="00420822"/>
    <w:rsid w:val="00420C74"/>
    <w:rsid w:val="004248BF"/>
    <w:rsid w:val="00441526"/>
    <w:rsid w:val="004465AA"/>
    <w:rsid w:val="00446A5E"/>
    <w:rsid w:val="00447ABF"/>
    <w:rsid w:val="0045458F"/>
    <w:rsid w:val="00460C66"/>
    <w:rsid w:val="004633B4"/>
    <w:rsid w:val="00495CED"/>
    <w:rsid w:val="004A2F96"/>
    <w:rsid w:val="004A4BDF"/>
    <w:rsid w:val="004B3553"/>
    <w:rsid w:val="004B3F4B"/>
    <w:rsid w:val="004E1FCA"/>
    <w:rsid w:val="004E47D6"/>
    <w:rsid w:val="004E64F3"/>
    <w:rsid w:val="004F042A"/>
    <w:rsid w:val="00503189"/>
    <w:rsid w:val="00516BD1"/>
    <w:rsid w:val="005206E9"/>
    <w:rsid w:val="00526D01"/>
    <w:rsid w:val="00530E8C"/>
    <w:rsid w:val="00535D34"/>
    <w:rsid w:val="00545933"/>
    <w:rsid w:val="00546CE1"/>
    <w:rsid w:val="00552105"/>
    <w:rsid w:val="005562F2"/>
    <w:rsid w:val="00557544"/>
    <w:rsid w:val="00565BBB"/>
    <w:rsid w:val="0057579E"/>
    <w:rsid w:val="00585F3C"/>
    <w:rsid w:val="00586CA0"/>
    <w:rsid w:val="00587875"/>
    <w:rsid w:val="005A63EB"/>
    <w:rsid w:val="005B0876"/>
    <w:rsid w:val="005C33B6"/>
    <w:rsid w:val="005D01F1"/>
    <w:rsid w:val="005D6202"/>
    <w:rsid w:val="005D6E98"/>
    <w:rsid w:val="005F7189"/>
    <w:rsid w:val="00600CC2"/>
    <w:rsid w:val="00607E2B"/>
    <w:rsid w:val="00613227"/>
    <w:rsid w:val="006139D6"/>
    <w:rsid w:val="00616D1B"/>
    <w:rsid w:val="00616F1D"/>
    <w:rsid w:val="0062051B"/>
    <w:rsid w:val="00623CE1"/>
    <w:rsid w:val="00627880"/>
    <w:rsid w:val="0063062B"/>
    <w:rsid w:val="006327D9"/>
    <w:rsid w:val="00634A82"/>
    <w:rsid w:val="00637351"/>
    <w:rsid w:val="00643520"/>
    <w:rsid w:val="00646166"/>
    <w:rsid w:val="00654896"/>
    <w:rsid w:val="00654D09"/>
    <w:rsid w:val="00660895"/>
    <w:rsid w:val="006621F0"/>
    <w:rsid w:val="006647BA"/>
    <w:rsid w:val="00667229"/>
    <w:rsid w:val="00671FEB"/>
    <w:rsid w:val="00682BE5"/>
    <w:rsid w:val="00683846"/>
    <w:rsid w:val="00690FED"/>
    <w:rsid w:val="006939A5"/>
    <w:rsid w:val="006A6A5F"/>
    <w:rsid w:val="006C2A5E"/>
    <w:rsid w:val="006C4548"/>
    <w:rsid w:val="006D5223"/>
    <w:rsid w:val="006D5970"/>
    <w:rsid w:val="006E12FC"/>
    <w:rsid w:val="006F0F24"/>
    <w:rsid w:val="006F2B2E"/>
    <w:rsid w:val="006F6A5C"/>
    <w:rsid w:val="00703F6F"/>
    <w:rsid w:val="007052B3"/>
    <w:rsid w:val="00705962"/>
    <w:rsid w:val="00707751"/>
    <w:rsid w:val="00707C21"/>
    <w:rsid w:val="00707D14"/>
    <w:rsid w:val="00712451"/>
    <w:rsid w:val="00717DE9"/>
    <w:rsid w:val="0072518B"/>
    <w:rsid w:val="00731041"/>
    <w:rsid w:val="007329E4"/>
    <w:rsid w:val="00732F08"/>
    <w:rsid w:val="007342F0"/>
    <w:rsid w:val="0074190C"/>
    <w:rsid w:val="007519F4"/>
    <w:rsid w:val="0075493D"/>
    <w:rsid w:val="00762576"/>
    <w:rsid w:val="007673CA"/>
    <w:rsid w:val="00791060"/>
    <w:rsid w:val="007919BD"/>
    <w:rsid w:val="007926EA"/>
    <w:rsid w:val="007B5626"/>
    <w:rsid w:val="007B6124"/>
    <w:rsid w:val="007C2D11"/>
    <w:rsid w:val="007D3C53"/>
    <w:rsid w:val="007E3A0F"/>
    <w:rsid w:val="007E3C5C"/>
    <w:rsid w:val="007E4BAB"/>
    <w:rsid w:val="007F2628"/>
    <w:rsid w:val="007F2FBA"/>
    <w:rsid w:val="00800C3A"/>
    <w:rsid w:val="0080570B"/>
    <w:rsid w:val="008148E1"/>
    <w:rsid w:val="008230B1"/>
    <w:rsid w:val="008319BF"/>
    <w:rsid w:val="00840131"/>
    <w:rsid w:val="008415F0"/>
    <w:rsid w:val="008433C2"/>
    <w:rsid w:val="00844457"/>
    <w:rsid w:val="008454C8"/>
    <w:rsid w:val="00851D78"/>
    <w:rsid w:val="008A016F"/>
    <w:rsid w:val="008A1A0D"/>
    <w:rsid w:val="008A6272"/>
    <w:rsid w:val="008A72E1"/>
    <w:rsid w:val="008A76ED"/>
    <w:rsid w:val="008B12D6"/>
    <w:rsid w:val="008B3C72"/>
    <w:rsid w:val="008C5FED"/>
    <w:rsid w:val="008D0E09"/>
    <w:rsid w:val="008F2EFA"/>
    <w:rsid w:val="00903007"/>
    <w:rsid w:val="00916D69"/>
    <w:rsid w:val="00923816"/>
    <w:rsid w:val="0092727B"/>
    <w:rsid w:val="0093074B"/>
    <w:rsid w:val="00930E64"/>
    <w:rsid w:val="00935FA9"/>
    <w:rsid w:val="00943CF9"/>
    <w:rsid w:val="009503FF"/>
    <w:rsid w:val="00956F8C"/>
    <w:rsid w:val="00961D57"/>
    <w:rsid w:val="0096733D"/>
    <w:rsid w:val="009676CC"/>
    <w:rsid w:val="00976716"/>
    <w:rsid w:val="0097693B"/>
    <w:rsid w:val="00993355"/>
    <w:rsid w:val="009963F7"/>
    <w:rsid w:val="00997DDD"/>
    <w:rsid w:val="009A11CB"/>
    <w:rsid w:val="009A3BE3"/>
    <w:rsid w:val="009A4A6D"/>
    <w:rsid w:val="009A5E18"/>
    <w:rsid w:val="009A6247"/>
    <w:rsid w:val="009B3C45"/>
    <w:rsid w:val="009B44DD"/>
    <w:rsid w:val="009B7E42"/>
    <w:rsid w:val="009D46CE"/>
    <w:rsid w:val="009D4ADA"/>
    <w:rsid w:val="009E13DD"/>
    <w:rsid w:val="009F547A"/>
    <w:rsid w:val="00A03D78"/>
    <w:rsid w:val="00A0503B"/>
    <w:rsid w:val="00A059CD"/>
    <w:rsid w:val="00A13265"/>
    <w:rsid w:val="00A14900"/>
    <w:rsid w:val="00A2159F"/>
    <w:rsid w:val="00A324FF"/>
    <w:rsid w:val="00A32A92"/>
    <w:rsid w:val="00A529BC"/>
    <w:rsid w:val="00A5346C"/>
    <w:rsid w:val="00A53F51"/>
    <w:rsid w:val="00A562F0"/>
    <w:rsid w:val="00A564FB"/>
    <w:rsid w:val="00A614C1"/>
    <w:rsid w:val="00A61EA6"/>
    <w:rsid w:val="00A657BF"/>
    <w:rsid w:val="00A71136"/>
    <w:rsid w:val="00A92578"/>
    <w:rsid w:val="00A931A9"/>
    <w:rsid w:val="00AA474C"/>
    <w:rsid w:val="00AA5309"/>
    <w:rsid w:val="00AC0047"/>
    <w:rsid w:val="00AC35EF"/>
    <w:rsid w:val="00AC4D5B"/>
    <w:rsid w:val="00AC60EE"/>
    <w:rsid w:val="00AD1DDB"/>
    <w:rsid w:val="00AD2697"/>
    <w:rsid w:val="00AD3503"/>
    <w:rsid w:val="00AD5B04"/>
    <w:rsid w:val="00AD7E5F"/>
    <w:rsid w:val="00AE3066"/>
    <w:rsid w:val="00AF68E4"/>
    <w:rsid w:val="00B00A87"/>
    <w:rsid w:val="00B01AA1"/>
    <w:rsid w:val="00B06025"/>
    <w:rsid w:val="00B06133"/>
    <w:rsid w:val="00B30C81"/>
    <w:rsid w:val="00B30DA1"/>
    <w:rsid w:val="00B461D0"/>
    <w:rsid w:val="00B4793B"/>
    <w:rsid w:val="00B53813"/>
    <w:rsid w:val="00B56099"/>
    <w:rsid w:val="00B64A60"/>
    <w:rsid w:val="00B8468D"/>
    <w:rsid w:val="00B937D7"/>
    <w:rsid w:val="00B956EB"/>
    <w:rsid w:val="00B96B67"/>
    <w:rsid w:val="00BA7024"/>
    <w:rsid w:val="00BB0EA4"/>
    <w:rsid w:val="00BB1E6B"/>
    <w:rsid w:val="00BC57EF"/>
    <w:rsid w:val="00BC69DB"/>
    <w:rsid w:val="00BE41E8"/>
    <w:rsid w:val="00BE6B6B"/>
    <w:rsid w:val="00BF25F9"/>
    <w:rsid w:val="00C0013A"/>
    <w:rsid w:val="00C04B39"/>
    <w:rsid w:val="00C13FD5"/>
    <w:rsid w:val="00C15633"/>
    <w:rsid w:val="00C15799"/>
    <w:rsid w:val="00C32E84"/>
    <w:rsid w:val="00C35415"/>
    <w:rsid w:val="00C357AD"/>
    <w:rsid w:val="00C51C5F"/>
    <w:rsid w:val="00C554CC"/>
    <w:rsid w:val="00C6069C"/>
    <w:rsid w:val="00C62C83"/>
    <w:rsid w:val="00C64795"/>
    <w:rsid w:val="00C70477"/>
    <w:rsid w:val="00C72E2C"/>
    <w:rsid w:val="00C7444A"/>
    <w:rsid w:val="00C74745"/>
    <w:rsid w:val="00C85119"/>
    <w:rsid w:val="00C95C48"/>
    <w:rsid w:val="00CA41E7"/>
    <w:rsid w:val="00CB3618"/>
    <w:rsid w:val="00CC058C"/>
    <w:rsid w:val="00CD170C"/>
    <w:rsid w:val="00CD320B"/>
    <w:rsid w:val="00CD3F37"/>
    <w:rsid w:val="00CD5431"/>
    <w:rsid w:val="00CE4B93"/>
    <w:rsid w:val="00CE54BE"/>
    <w:rsid w:val="00CF2491"/>
    <w:rsid w:val="00CF2FEA"/>
    <w:rsid w:val="00CF3963"/>
    <w:rsid w:val="00CF6D95"/>
    <w:rsid w:val="00D1252E"/>
    <w:rsid w:val="00D13D9D"/>
    <w:rsid w:val="00D34652"/>
    <w:rsid w:val="00D416A3"/>
    <w:rsid w:val="00D459A2"/>
    <w:rsid w:val="00D530FF"/>
    <w:rsid w:val="00D53688"/>
    <w:rsid w:val="00D5407A"/>
    <w:rsid w:val="00D57772"/>
    <w:rsid w:val="00D62ECA"/>
    <w:rsid w:val="00D72AE3"/>
    <w:rsid w:val="00D75A4D"/>
    <w:rsid w:val="00D8478B"/>
    <w:rsid w:val="00D86151"/>
    <w:rsid w:val="00D9172D"/>
    <w:rsid w:val="00D97E84"/>
    <w:rsid w:val="00DA527D"/>
    <w:rsid w:val="00DA5641"/>
    <w:rsid w:val="00DA7595"/>
    <w:rsid w:val="00DB0A68"/>
    <w:rsid w:val="00DC43A3"/>
    <w:rsid w:val="00DC4CF3"/>
    <w:rsid w:val="00DC5C01"/>
    <w:rsid w:val="00DD11E9"/>
    <w:rsid w:val="00DD7C09"/>
    <w:rsid w:val="00DF0EB4"/>
    <w:rsid w:val="00DF111E"/>
    <w:rsid w:val="00E0124F"/>
    <w:rsid w:val="00E4347E"/>
    <w:rsid w:val="00E46880"/>
    <w:rsid w:val="00E553C9"/>
    <w:rsid w:val="00E5762A"/>
    <w:rsid w:val="00E60801"/>
    <w:rsid w:val="00E637FD"/>
    <w:rsid w:val="00E674D3"/>
    <w:rsid w:val="00E70FD0"/>
    <w:rsid w:val="00E72B2C"/>
    <w:rsid w:val="00E7309D"/>
    <w:rsid w:val="00E77C4B"/>
    <w:rsid w:val="00E9301F"/>
    <w:rsid w:val="00E9690A"/>
    <w:rsid w:val="00E97DC7"/>
    <w:rsid w:val="00EA0908"/>
    <w:rsid w:val="00EA5FA4"/>
    <w:rsid w:val="00ED58E9"/>
    <w:rsid w:val="00ED6B18"/>
    <w:rsid w:val="00F000EF"/>
    <w:rsid w:val="00F17A9B"/>
    <w:rsid w:val="00F2504E"/>
    <w:rsid w:val="00F2585B"/>
    <w:rsid w:val="00F4053F"/>
    <w:rsid w:val="00F516E7"/>
    <w:rsid w:val="00F57BF7"/>
    <w:rsid w:val="00F6263E"/>
    <w:rsid w:val="00F627C2"/>
    <w:rsid w:val="00F736FD"/>
    <w:rsid w:val="00F83EFF"/>
    <w:rsid w:val="00F84067"/>
    <w:rsid w:val="00F92374"/>
    <w:rsid w:val="00FA50B4"/>
    <w:rsid w:val="00FB6E83"/>
    <w:rsid w:val="00FC12D3"/>
    <w:rsid w:val="00FC156A"/>
    <w:rsid w:val="00FD12AC"/>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C4B10"/>
    <w:rPr>
      <w:rFonts w:eastAsia="BatangChe"/>
      <w:sz w:val="24"/>
      <w:szCs w:val="24"/>
    </w:rPr>
  </w:style>
  <w:style w:type="character" w:customStyle="1" w:styleId="shorttext">
    <w:name w:val="short_text"/>
    <w:basedOn w:val="DefaultParagraphFont"/>
    <w:rsid w:val="001D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WP5B-C-0305/e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959B-5B6E-4752-9E64-C6541593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2920</Words>
  <Characters>16647</Characters>
  <Application>Microsoft Office Word</Application>
  <DocSecurity>0</DocSecurity>
  <Lines>138</Lines>
  <Paragraphs>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11</cp:revision>
  <cp:lastPrinted>2015-02-02T07:28:00Z</cp:lastPrinted>
  <dcterms:created xsi:type="dcterms:W3CDTF">2018-03-16T04:50:00Z</dcterms:created>
  <dcterms:modified xsi:type="dcterms:W3CDTF">2018-03-20T04:19:00Z</dcterms:modified>
</cp:coreProperties>
</file>