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E77594" w:rsidRPr="00891D0B" w:rsidTr="00214505">
        <w:trPr>
          <w:cantSplit/>
          <w:trHeight w:val="288"/>
        </w:trPr>
        <w:tc>
          <w:tcPr>
            <w:tcW w:w="1399" w:type="dxa"/>
            <w:vMerge w:val="restart"/>
          </w:tcPr>
          <w:p w:rsidR="00E77594" w:rsidRPr="00891D0B" w:rsidRDefault="00E77594" w:rsidP="0021450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025CD75F" wp14:editId="3EBF0FEF">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rsidR="00E77594" w:rsidRPr="00891D0B" w:rsidRDefault="00E77594" w:rsidP="00214505">
            <w:pPr>
              <w:spacing w:before="40"/>
              <w:rPr>
                <w:sz w:val="22"/>
                <w:szCs w:val="22"/>
              </w:rPr>
            </w:pPr>
            <w:r w:rsidRPr="00891D0B">
              <w:rPr>
                <w:sz w:val="22"/>
                <w:szCs w:val="22"/>
              </w:rPr>
              <w:t>ASIA-PACIFIC TELECOMMUNITY</w:t>
            </w:r>
          </w:p>
        </w:tc>
        <w:tc>
          <w:tcPr>
            <w:tcW w:w="2160" w:type="dxa"/>
          </w:tcPr>
          <w:p w:rsidR="00E77594" w:rsidRPr="00891D0B" w:rsidRDefault="00E77594" w:rsidP="00214505">
            <w:pPr>
              <w:pStyle w:val="Heading8"/>
              <w:spacing w:before="40"/>
              <w:rPr>
                <w:sz w:val="24"/>
                <w:szCs w:val="24"/>
              </w:rPr>
            </w:pPr>
            <w:r>
              <w:rPr>
                <w:sz w:val="24"/>
                <w:szCs w:val="24"/>
              </w:rPr>
              <w:t>Document No:</w:t>
            </w:r>
          </w:p>
        </w:tc>
      </w:tr>
      <w:tr w:rsidR="00E77594" w:rsidRPr="00C15799" w:rsidTr="00214505">
        <w:trPr>
          <w:cantSplit/>
          <w:trHeight w:val="504"/>
        </w:trPr>
        <w:tc>
          <w:tcPr>
            <w:tcW w:w="1399" w:type="dxa"/>
            <w:vMerge/>
          </w:tcPr>
          <w:p w:rsidR="00E77594" w:rsidRPr="00891D0B" w:rsidRDefault="00E77594" w:rsidP="00214505"/>
        </w:tc>
        <w:tc>
          <w:tcPr>
            <w:tcW w:w="5760" w:type="dxa"/>
            <w:vAlign w:val="center"/>
          </w:tcPr>
          <w:p w:rsidR="00E77594" w:rsidRDefault="00E77594" w:rsidP="00214505">
            <w:pPr>
              <w:spacing w:before="40"/>
              <w:rPr>
                <w:b/>
              </w:rPr>
            </w:pPr>
            <w:r>
              <w:rPr>
                <w:b/>
              </w:rPr>
              <w:t>The 4th Meeting of the APT Conference Preparatory</w:t>
            </w:r>
          </w:p>
          <w:p w:rsidR="00E77594" w:rsidRPr="00891D0B" w:rsidRDefault="00E77594" w:rsidP="00214505">
            <w:pPr>
              <w:spacing w:line="0" w:lineRule="atLeast"/>
            </w:pPr>
            <w:r>
              <w:rPr>
                <w:b/>
              </w:rPr>
              <w:t>Group for WRC-19 (APG19-4)</w:t>
            </w:r>
          </w:p>
        </w:tc>
        <w:tc>
          <w:tcPr>
            <w:tcW w:w="2160" w:type="dxa"/>
          </w:tcPr>
          <w:p w:rsidR="00E77594" w:rsidRDefault="00E77594" w:rsidP="00214505">
            <w:pPr>
              <w:spacing w:before="40"/>
              <w:rPr>
                <w:b/>
                <w:bCs/>
                <w:lang w:val="fr-FR"/>
              </w:rPr>
            </w:pPr>
            <w:r w:rsidRPr="00C96104">
              <w:rPr>
                <w:b/>
                <w:bCs/>
                <w:lang w:val="fr-FR"/>
              </w:rPr>
              <w:t>AP</w:t>
            </w:r>
            <w:r>
              <w:rPr>
                <w:b/>
                <w:bCs/>
                <w:lang w:val="fr-FR"/>
              </w:rPr>
              <w:t>G19-4/</w:t>
            </w:r>
            <w:r>
              <w:rPr>
                <w:b/>
                <w:bCs/>
                <w:lang w:val="fr-FR"/>
              </w:rPr>
              <w:t>OUT</w:t>
            </w:r>
            <w:r>
              <w:rPr>
                <w:b/>
                <w:bCs/>
                <w:lang w:val="fr-FR"/>
              </w:rPr>
              <w:t>-</w:t>
            </w:r>
            <w:r>
              <w:rPr>
                <w:b/>
                <w:bCs/>
                <w:lang w:val="fr-FR"/>
              </w:rPr>
              <w:t>18</w:t>
            </w:r>
          </w:p>
          <w:p w:rsidR="00E77594" w:rsidRPr="007E1FDD" w:rsidRDefault="00E77594" w:rsidP="00214505">
            <w:pPr>
              <w:rPr>
                <w:b/>
                <w:bCs/>
                <w:lang w:val="en-GB"/>
              </w:rPr>
            </w:pPr>
          </w:p>
        </w:tc>
      </w:tr>
      <w:tr w:rsidR="00E77594" w:rsidRPr="00891D0B" w:rsidTr="00214505">
        <w:trPr>
          <w:cantSplit/>
          <w:trHeight w:val="288"/>
        </w:trPr>
        <w:tc>
          <w:tcPr>
            <w:tcW w:w="1399" w:type="dxa"/>
            <w:vMerge/>
          </w:tcPr>
          <w:p w:rsidR="00E77594" w:rsidRPr="007E1FDD" w:rsidRDefault="00E77594" w:rsidP="00214505">
            <w:pPr>
              <w:rPr>
                <w:lang w:val="en-GB"/>
              </w:rPr>
            </w:pPr>
          </w:p>
        </w:tc>
        <w:tc>
          <w:tcPr>
            <w:tcW w:w="5760" w:type="dxa"/>
            <w:vAlign w:val="bottom"/>
          </w:tcPr>
          <w:p w:rsidR="00E77594" w:rsidRPr="00712451" w:rsidRDefault="00E77594" w:rsidP="00214505">
            <w:pPr>
              <w:spacing w:before="40"/>
              <w:rPr>
                <w:b/>
              </w:rPr>
            </w:pPr>
            <w:r>
              <w:t>7 – 12 January 2019</w:t>
            </w:r>
            <w:r w:rsidRPr="00891D0B">
              <w:t xml:space="preserve">, </w:t>
            </w:r>
            <w:r>
              <w:t>Busan, Republic of Korea</w:t>
            </w:r>
          </w:p>
        </w:tc>
        <w:tc>
          <w:tcPr>
            <w:tcW w:w="2160" w:type="dxa"/>
            <w:vAlign w:val="bottom"/>
          </w:tcPr>
          <w:p w:rsidR="00E77594" w:rsidRPr="007E1FDD" w:rsidRDefault="00E77594" w:rsidP="00E77594">
            <w:pPr>
              <w:spacing w:before="40"/>
              <w:rPr>
                <w:bCs/>
              </w:rPr>
            </w:pPr>
            <w:r>
              <w:rPr>
                <w:bCs/>
              </w:rPr>
              <w:t>12</w:t>
            </w:r>
            <w:r w:rsidRPr="007E1FDD">
              <w:rPr>
                <w:bCs/>
              </w:rPr>
              <w:t xml:space="preserve"> </w:t>
            </w:r>
            <w:r>
              <w:rPr>
                <w:bCs/>
              </w:rPr>
              <w:t>January</w:t>
            </w:r>
            <w:r w:rsidRPr="007E1FDD">
              <w:rPr>
                <w:bCs/>
              </w:rPr>
              <w:t xml:space="preserve"> 201</w:t>
            </w:r>
            <w:r>
              <w:rPr>
                <w:bCs/>
              </w:rPr>
              <w:t>9</w:t>
            </w:r>
          </w:p>
        </w:tc>
      </w:tr>
    </w:tbl>
    <w:p w:rsidR="00DA7595" w:rsidRDefault="00DA7595" w:rsidP="00DA7595">
      <w:pPr>
        <w:rPr>
          <w:lang w:eastAsia="ko-KR"/>
        </w:rPr>
      </w:pPr>
    </w:p>
    <w:p w:rsidR="00E77594" w:rsidRPr="00E77594" w:rsidRDefault="00E77594" w:rsidP="00DA7595">
      <w:pPr>
        <w:rPr>
          <w:lang w:eastAsia="ko-KR"/>
        </w:rPr>
      </w:pPr>
    </w:p>
    <w:p w:rsidR="00DA7595" w:rsidRPr="00E77594" w:rsidRDefault="00A13D67" w:rsidP="00DA7595">
      <w:pPr>
        <w:jc w:val="center"/>
        <w:rPr>
          <w:lang w:eastAsia="ko-KR"/>
        </w:rPr>
      </w:pPr>
      <w:r w:rsidRPr="00E77594">
        <w:rPr>
          <w:lang w:val="en-NZ"/>
        </w:rPr>
        <w:t>Working Party 1</w:t>
      </w:r>
    </w:p>
    <w:p w:rsidR="00FE3DE5" w:rsidRPr="00E77594" w:rsidRDefault="00FE3DE5" w:rsidP="0063062B">
      <w:pPr>
        <w:jc w:val="center"/>
        <w:rPr>
          <w:bCs/>
          <w:caps/>
        </w:rPr>
      </w:pPr>
    </w:p>
    <w:p w:rsidR="00667CE0" w:rsidRDefault="00667CE0" w:rsidP="00DF1E5B">
      <w:pPr>
        <w:jc w:val="center"/>
        <w:rPr>
          <w:b/>
          <w:bCs/>
          <w:caps/>
          <w:lang w:val="en-NZ"/>
        </w:rPr>
      </w:pPr>
      <w:r w:rsidRPr="00E77594">
        <w:rPr>
          <w:b/>
          <w:bCs/>
          <w:caps/>
          <w:lang w:val="en-NZ"/>
        </w:rPr>
        <w:t>PRELIMINARY VIEWs on WRC-19 agenda item 1.15</w:t>
      </w:r>
    </w:p>
    <w:p w:rsidR="00E77594" w:rsidRPr="00E77594" w:rsidRDefault="00E77594" w:rsidP="00DF1E5B">
      <w:pPr>
        <w:jc w:val="center"/>
        <w:rPr>
          <w:b/>
          <w:bCs/>
          <w:caps/>
          <w:lang w:val="en-NZ"/>
        </w:rPr>
      </w:pPr>
    </w:p>
    <w:p w:rsidR="00C357AD" w:rsidRPr="00E77594" w:rsidRDefault="00C357AD" w:rsidP="00C357AD">
      <w:pPr>
        <w:jc w:val="both"/>
        <w:rPr>
          <w:b/>
        </w:rPr>
      </w:pPr>
    </w:p>
    <w:p w:rsidR="00971D8F" w:rsidRPr="00971D8F" w:rsidRDefault="00667CE0" w:rsidP="00971D8F">
      <w:pPr>
        <w:adjustRightInd w:val="0"/>
        <w:spacing w:afterLines="50" w:after="120"/>
        <w:rPr>
          <w:b/>
          <w:lang w:eastAsia="ko-KR"/>
        </w:rPr>
      </w:pPr>
      <w:r w:rsidRPr="00971D8F">
        <w:rPr>
          <w:b/>
          <w:lang w:eastAsia="ko-KR"/>
        </w:rPr>
        <w:t>Agenda Item 1.15</w:t>
      </w:r>
    </w:p>
    <w:p w:rsidR="000A5418" w:rsidRPr="00971D8F" w:rsidRDefault="00667CE0" w:rsidP="00971D8F">
      <w:pPr>
        <w:adjustRightInd w:val="0"/>
        <w:spacing w:afterLines="50" w:after="120"/>
        <w:rPr>
          <w:i/>
          <w:lang w:eastAsia="ko-KR"/>
        </w:rPr>
      </w:pPr>
      <w:r w:rsidRPr="00971D8F">
        <w:rPr>
          <w:i/>
          <w:lang w:eastAsia="ko-KR"/>
        </w:rPr>
        <w:t xml:space="preserve"> to consider identification of frequency bands for use by administrations for the land-mobile and fixed services applications operating in the frequency range 275-450 GHz, in accordance with Resolution </w:t>
      </w:r>
      <w:r w:rsidRPr="00A13D67">
        <w:rPr>
          <w:b/>
          <w:i/>
          <w:lang w:eastAsia="ko-KR"/>
        </w:rPr>
        <w:t>767 (WRC-15)</w:t>
      </w:r>
      <w:r w:rsidRPr="00971D8F">
        <w:rPr>
          <w:i/>
          <w:lang w:eastAsia="ko-KR"/>
        </w:rPr>
        <w:t>;</w:t>
      </w:r>
    </w:p>
    <w:p w:rsidR="000A5418" w:rsidRPr="00667CE0" w:rsidRDefault="000A5418" w:rsidP="00971D8F">
      <w:pPr>
        <w:pStyle w:val="ListParagraph"/>
        <w:numPr>
          <w:ilvl w:val="0"/>
          <w:numId w:val="11"/>
        </w:numPr>
        <w:adjustRightInd w:val="0"/>
        <w:spacing w:after="120"/>
        <w:ind w:left="0" w:firstLine="0"/>
        <w:contextualSpacing w:val="0"/>
        <w:rPr>
          <w:b/>
          <w:lang w:eastAsia="ko-KR"/>
        </w:rPr>
      </w:pPr>
      <w:r w:rsidRPr="00667CE0">
        <w:rPr>
          <w:rFonts w:hint="eastAsia"/>
          <w:b/>
          <w:lang w:eastAsia="ko-KR"/>
        </w:rPr>
        <w:t>Background</w:t>
      </w:r>
    </w:p>
    <w:p w:rsidR="00667CE0" w:rsidRDefault="00BD6597" w:rsidP="00452CF6">
      <w:pPr>
        <w:adjustRightInd w:val="0"/>
        <w:spacing w:afterLines="50" w:after="120"/>
        <w:jc w:val="both"/>
        <w:rPr>
          <w:lang w:eastAsia="ko-KR"/>
        </w:rPr>
      </w:pPr>
      <w:r w:rsidRPr="00971D8F">
        <w:rPr>
          <w:rFonts w:eastAsia="MS Mincho" w:hint="eastAsia"/>
          <w:lang w:eastAsia="ja-JP"/>
        </w:rPr>
        <w:t xml:space="preserve">In accordance with </w:t>
      </w:r>
      <w:r w:rsidR="00667CE0" w:rsidRPr="00971D8F">
        <w:rPr>
          <w:lang w:eastAsia="ko-KR"/>
        </w:rPr>
        <w:t>Resolution</w:t>
      </w:r>
      <w:r w:rsidR="00667CE0" w:rsidRPr="00DC7EFC">
        <w:rPr>
          <w:b/>
          <w:lang w:eastAsia="ko-KR"/>
        </w:rPr>
        <w:t xml:space="preserve"> 767</w:t>
      </w:r>
      <w:r>
        <w:rPr>
          <w:rFonts w:eastAsia="MS Mincho" w:hint="eastAsia"/>
          <w:b/>
          <w:lang w:eastAsia="ja-JP"/>
        </w:rPr>
        <w:t xml:space="preserve"> (WRC-15)</w:t>
      </w:r>
      <w:r w:rsidR="00667CE0">
        <w:rPr>
          <w:lang w:eastAsia="ko-KR"/>
        </w:rPr>
        <w:t xml:space="preserve">, </w:t>
      </w:r>
      <w:r>
        <w:rPr>
          <w:lang w:eastAsia="ko-KR"/>
        </w:rPr>
        <w:t>WRC-19</w:t>
      </w:r>
      <w:r>
        <w:rPr>
          <w:rFonts w:eastAsia="MS Mincho" w:hint="eastAsia"/>
          <w:lang w:eastAsia="ja-JP"/>
        </w:rPr>
        <w:t xml:space="preserve"> was invited:</w:t>
      </w:r>
    </w:p>
    <w:p w:rsidR="00667CE0" w:rsidRPr="00A13D67" w:rsidRDefault="00667CE0" w:rsidP="00452CF6">
      <w:pPr>
        <w:adjustRightInd w:val="0"/>
        <w:spacing w:afterLines="50" w:after="120"/>
        <w:jc w:val="both"/>
        <w:rPr>
          <w:b/>
          <w:i/>
          <w:lang w:eastAsia="ko-KR"/>
        </w:rPr>
      </w:pPr>
      <w:r w:rsidRPr="00A13D67">
        <w:rPr>
          <w:i/>
          <w:lang w:eastAsia="ko-KR"/>
        </w:rPr>
        <w:t>taking into account the results of ITU-R studies on sharing and compatibility between passive and active services as well as spectrum needs for those services, to consider identification for use by administrations for the land-mobile and fixed service applications operating in the frequency range 275-450GHz, while maintaining protection of the passive services identified in No.</w:t>
      </w:r>
      <w:r w:rsidRPr="00A13D67">
        <w:rPr>
          <w:b/>
          <w:i/>
          <w:lang w:eastAsia="ko-KR"/>
        </w:rPr>
        <w:t xml:space="preserve"> 5.565</w:t>
      </w:r>
      <w:r w:rsidRPr="00A13D67">
        <w:rPr>
          <w:i/>
          <w:lang w:eastAsia="ko-KR"/>
        </w:rPr>
        <w:t>, and take appropriate action.</w:t>
      </w:r>
    </w:p>
    <w:p w:rsidR="00D6020C" w:rsidRDefault="00D6020C" w:rsidP="00452CF6">
      <w:pPr>
        <w:adjustRightInd w:val="0"/>
        <w:spacing w:afterLines="50" w:after="120"/>
        <w:jc w:val="both"/>
        <w:rPr>
          <w:lang w:eastAsia="ko-KR"/>
        </w:rPr>
      </w:pPr>
      <w:r>
        <w:rPr>
          <w:lang w:eastAsia="ko-KR"/>
        </w:rPr>
        <w:t xml:space="preserve">Recent ITU-R </w:t>
      </w:r>
      <w:r w:rsidR="00BD6597">
        <w:rPr>
          <w:rFonts w:eastAsia="MS Mincho" w:hint="eastAsia"/>
          <w:lang w:eastAsia="ja-JP"/>
        </w:rPr>
        <w:t xml:space="preserve">and APT </w:t>
      </w:r>
      <w:r>
        <w:rPr>
          <w:lang w:eastAsia="ko-KR"/>
        </w:rPr>
        <w:t>studies are as follows:</w:t>
      </w:r>
    </w:p>
    <w:p w:rsidR="00D6020C" w:rsidRPr="00D6020C" w:rsidRDefault="00D6020C" w:rsidP="00A13D67">
      <w:pPr>
        <w:pStyle w:val="ListParagraph"/>
        <w:numPr>
          <w:ilvl w:val="0"/>
          <w:numId w:val="23"/>
        </w:numPr>
        <w:spacing w:afterLines="50" w:after="120"/>
        <w:ind w:left="480" w:hangingChars="200" w:hanging="480"/>
        <w:contextualSpacing w:val="0"/>
        <w:jc w:val="both"/>
        <w:rPr>
          <w:b/>
          <w:lang w:eastAsia="ko-KR"/>
        </w:rPr>
      </w:pPr>
      <w:r>
        <w:rPr>
          <w:lang w:eastAsia="ko-KR"/>
        </w:rPr>
        <w:t xml:space="preserve">Report ITU-R </w:t>
      </w:r>
      <w:hyperlink r:id="rId8" w:history="1">
        <w:r w:rsidRPr="001338F0">
          <w:rPr>
            <w:rStyle w:val="Hyperlink"/>
            <w:lang w:eastAsia="ko-KR"/>
          </w:rPr>
          <w:t>F.2416</w:t>
        </w:r>
      </w:hyperlink>
      <w:r>
        <w:rPr>
          <w:lang w:eastAsia="ko-KR"/>
        </w:rPr>
        <w:t xml:space="preserve"> “</w:t>
      </w:r>
      <w:r w:rsidRPr="00D6020C">
        <w:rPr>
          <w:rFonts w:cs="Segoe UI"/>
          <w:color w:val="000000"/>
        </w:rPr>
        <w:t xml:space="preserve">Technical and operational characteristics and applications of the point-to-point fixed </w:t>
      </w:r>
      <w:r w:rsidRPr="00D6020C">
        <w:rPr>
          <w:rFonts w:cs="Segoe UI"/>
        </w:rPr>
        <w:t>service applications operating in the frequency band 275-450 GHz</w:t>
      </w:r>
      <w:r w:rsidR="0016643B">
        <w:rPr>
          <w:rFonts w:cs="Segoe UI"/>
        </w:rPr>
        <w:t>”</w:t>
      </w:r>
      <w:r w:rsidR="00452CF6">
        <w:rPr>
          <w:lang w:eastAsia="ko-KR"/>
        </w:rPr>
        <w:t>;</w:t>
      </w:r>
    </w:p>
    <w:p w:rsidR="00806638" w:rsidRPr="001338F0" w:rsidRDefault="00D6020C" w:rsidP="00A13D67">
      <w:pPr>
        <w:pStyle w:val="ListParagraph"/>
        <w:numPr>
          <w:ilvl w:val="0"/>
          <w:numId w:val="23"/>
        </w:numPr>
        <w:spacing w:afterLines="50" w:after="120"/>
        <w:ind w:left="480" w:hangingChars="200" w:hanging="480"/>
        <w:contextualSpacing w:val="0"/>
        <w:jc w:val="both"/>
      </w:pPr>
      <w:r>
        <w:rPr>
          <w:lang w:eastAsia="ko-KR"/>
        </w:rPr>
        <w:t xml:space="preserve">Report ITU-R </w:t>
      </w:r>
      <w:hyperlink r:id="rId9" w:history="1">
        <w:r w:rsidRPr="001338F0">
          <w:rPr>
            <w:rStyle w:val="Hyperlink"/>
            <w:lang w:eastAsia="ko-KR"/>
          </w:rPr>
          <w:t>M.2417</w:t>
        </w:r>
      </w:hyperlink>
      <w:r>
        <w:rPr>
          <w:lang w:eastAsia="ko-KR"/>
        </w:rPr>
        <w:t xml:space="preserve"> “</w:t>
      </w:r>
      <w:r w:rsidRPr="00D6020C">
        <w:rPr>
          <w:rFonts w:cs="Segoe UI"/>
        </w:rPr>
        <w:t xml:space="preserve">Technical and operational </w:t>
      </w:r>
      <w:r w:rsidRPr="00D6020C">
        <w:rPr>
          <w:rFonts w:cs="Segoe UI"/>
          <w:color w:val="000000"/>
        </w:rPr>
        <w:t>characteristics of land-mobile service applications in the frequency range 275-450 GHz”</w:t>
      </w:r>
      <w:r w:rsidR="00452CF6">
        <w:rPr>
          <w:rFonts w:cs="Segoe UI"/>
          <w:color w:val="000000"/>
        </w:rPr>
        <w:t>;</w:t>
      </w:r>
    </w:p>
    <w:p w:rsidR="009A1A5E" w:rsidRDefault="001338F0" w:rsidP="00A13D67">
      <w:pPr>
        <w:pStyle w:val="ListParagraph"/>
        <w:numPr>
          <w:ilvl w:val="0"/>
          <w:numId w:val="23"/>
        </w:numPr>
        <w:spacing w:afterLines="50" w:after="120"/>
        <w:ind w:left="480" w:hangingChars="200" w:hanging="480"/>
        <w:contextualSpacing w:val="0"/>
        <w:jc w:val="both"/>
      </w:pPr>
      <w:r>
        <w:rPr>
          <w:lang w:eastAsia="ko-KR"/>
        </w:rPr>
        <w:t>WP</w:t>
      </w:r>
      <w:r w:rsidR="00452CF6">
        <w:rPr>
          <w:lang w:eastAsia="ko-KR"/>
        </w:rPr>
        <w:t xml:space="preserve"> </w:t>
      </w:r>
      <w:r>
        <w:rPr>
          <w:lang w:eastAsia="ko-KR"/>
        </w:rPr>
        <w:t>1A –</w:t>
      </w:r>
      <w:r w:rsidR="00A13D67">
        <w:rPr>
          <w:lang w:eastAsia="ko-KR"/>
        </w:rPr>
        <w:t xml:space="preserve"> WDPDN</w:t>
      </w:r>
      <w:r>
        <w:rPr>
          <w:lang w:eastAsia="ko-KR"/>
        </w:rPr>
        <w:t xml:space="preserve"> Report ITU-R SM.[275-450GHZ_SHARING] (Doc.</w:t>
      </w:r>
      <w:r>
        <w:t xml:space="preserve"> </w:t>
      </w:r>
      <w:hyperlink r:id="rId10" w:history="1">
        <w:r>
          <w:rPr>
            <w:rStyle w:val="Hyperlink"/>
            <w:lang w:eastAsia="ko-KR"/>
          </w:rPr>
          <w:t>1A/340</w:t>
        </w:r>
      </w:hyperlink>
      <w:r>
        <w:rPr>
          <w:lang w:eastAsia="ko-KR"/>
        </w:rPr>
        <w:t xml:space="preserve"> Annex </w:t>
      </w:r>
      <w:r w:rsidR="003C689B">
        <w:rPr>
          <w:lang w:eastAsia="ko-KR"/>
        </w:rPr>
        <w:t>3</w:t>
      </w:r>
      <w:r w:rsidR="009A1A5E">
        <w:rPr>
          <w:lang w:eastAsia="ko-KR"/>
        </w:rPr>
        <w:t>)</w:t>
      </w:r>
      <w:r w:rsidR="00452CF6">
        <w:rPr>
          <w:lang w:eastAsia="ko-KR"/>
        </w:rPr>
        <w:t>;</w:t>
      </w:r>
    </w:p>
    <w:p w:rsidR="003C689B" w:rsidRDefault="003C689B" w:rsidP="00A13D67">
      <w:pPr>
        <w:pStyle w:val="ListParagraph"/>
        <w:numPr>
          <w:ilvl w:val="0"/>
          <w:numId w:val="23"/>
        </w:numPr>
        <w:spacing w:afterLines="50" w:after="120"/>
        <w:ind w:left="480" w:hangingChars="200" w:hanging="480"/>
        <w:contextualSpacing w:val="0"/>
        <w:jc w:val="both"/>
      </w:pPr>
      <w:r>
        <w:t>WP</w:t>
      </w:r>
      <w:r w:rsidR="00452CF6">
        <w:t xml:space="preserve"> </w:t>
      </w:r>
      <w:r>
        <w:t xml:space="preserve">5A – </w:t>
      </w:r>
      <w:r w:rsidR="00A13D67">
        <w:t>WDPDR</w:t>
      </w:r>
      <w:r w:rsidR="00C269D3" w:rsidRPr="00C269D3">
        <w:t xml:space="preserve"> Report ITU-R M.2417-0 </w:t>
      </w:r>
      <w:r w:rsidR="0016643B">
        <w:t>“</w:t>
      </w:r>
      <w:r w:rsidR="00C269D3" w:rsidRPr="00C269D3">
        <w:t>Technical and operational characteristics of land-mobile service applications in the frequency range 275-450 GHz</w:t>
      </w:r>
      <w:r w:rsidR="0016643B">
        <w:t>”</w:t>
      </w:r>
      <w:r w:rsidR="00C269D3">
        <w:t xml:space="preserve"> </w:t>
      </w:r>
      <w:r w:rsidR="00C269D3">
        <w:rPr>
          <w:lang w:eastAsia="ko-KR"/>
        </w:rPr>
        <w:t>(Doc.</w:t>
      </w:r>
      <w:r w:rsidR="00C269D3">
        <w:t xml:space="preserve"> </w:t>
      </w:r>
      <w:hyperlink r:id="rId11" w:history="1">
        <w:r w:rsidR="00C269D3">
          <w:rPr>
            <w:rStyle w:val="Hyperlink"/>
            <w:lang w:eastAsia="ko-KR"/>
          </w:rPr>
          <w:t>5A/976</w:t>
        </w:r>
      </w:hyperlink>
      <w:r w:rsidR="00C269D3">
        <w:rPr>
          <w:lang w:eastAsia="ko-KR"/>
        </w:rPr>
        <w:t xml:space="preserve"> Annex 24)</w:t>
      </w:r>
      <w:r w:rsidR="00452CF6">
        <w:rPr>
          <w:lang w:eastAsia="ko-KR"/>
        </w:rPr>
        <w:t>;</w:t>
      </w:r>
    </w:p>
    <w:p w:rsidR="00AF5DEB" w:rsidRDefault="00AF5DEB" w:rsidP="00A13D67">
      <w:pPr>
        <w:pStyle w:val="ListParagraph"/>
        <w:numPr>
          <w:ilvl w:val="0"/>
          <w:numId w:val="23"/>
        </w:numPr>
        <w:spacing w:afterLines="50" w:after="120"/>
        <w:ind w:left="480" w:hangingChars="200" w:hanging="480"/>
        <w:contextualSpacing w:val="0"/>
        <w:jc w:val="both"/>
      </w:pPr>
      <w:r>
        <w:t>WP</w:t>
      </w:r>
      <w:r w:rsidR="00452CF6">
        <w:t xml:space="preserve"> </w:t>
      </w:r>
      <w:r>
        <w:t xml:space="preserve">5C – </w:t>
      </w:r>
      <w:r w:rsidRPr="00C269D3">
        <w:t xml:space="preserve">Elements for consideration on future revisions of Recommendations ITU-R F.699, ITU-R F.1245 and Report ITU-R F.2416 </w:t>
      </w:r>
      <w:r>
        <w:rPr>
          <w:lang w:eastAsia="ko-KR"/>
        </w:rPr>
        <w:t>(Doc.</w:t>
      </w:r>
      <w:r>
        <w:t xml:space="preserve"> </w:t>
      </w:r>
      <w:hyperlink r:id="rId12" w:history="1">
        <w:r>
          <w:rPr>
            <w:rStyle w:val="Hyperlink"/>
            <w:lang w:eastAsia="ko-KR"/>
          </w:rPr>
          <w:t>5C/617</w:t>
        </w:r>
      </w:hyperlink>
      <w:r>
        <w:rPr>
          <w:lang w:eastAsia="ko-KR"/>
        </w:rPr>
        <w:t xml:space="preserve"> Annex 2)</w:t>
      </w:r>
      <w:r w:rsidR="00452CF6">
        <w:rPr>
          <w:lang w:eastAsia="ko-KR"/>
        </w:rPr>
        <w:t>;</w:t>
      </w:r>
    </w:p>
    <w:p w:rsidR="00C269D3" w:rsidRDefault="00C269D3" w:rsidP="00A13D67">
      <w:pPr>
        <w:pStyle w:val="ListParagraph"/>
        <w:numPr>
          <w:ilvl w:val="0"/>
          <w:numId w:val="23"/>
        </w:numPr>
        <w:spacing w:afterLines="50" w:after="120"/>
        <w:ind w:left="480" w:hangingChars="200" w:hanging="480"/>
        <w:contextualSpacing w:val="0"/>
        <w:jc w:val="both"/>
      </w:pPr>
      <w:r>
        <w:t>WP</w:t>
      </w:r>
      <w:r w:rsidR="00452CF6">
        <w:t xml:space="preserve"> </w:t>
      </w:r>
      <w:r>
        <w:t xml:space="preserve">7C – </w:t>
      </w:r>
      <w:r w:rsidRPr="001B5566">
        <w:t xml:space="preserve">Draft new Report ITU-R RS.[275-450 GHZ CHARS] </w:t>
      </w:r>
      <w:r>
        <w:t xml:space="preserve"> </w:t>
      </w:r>
      <w:r>
        <w:rPr>
          <w:lang w:eastAsia="ko-KR"/>
        </w:rPr>
        <w:t>(Doc.</w:t>
      </w:r>
      <w:r>
        <w:t xml:space="preserve"> </w:t>
      </w:r>
      <w:hyperlink r:id="rId13" w:history="1">
        <w:r>
          <w:rPr>
            <w:rStyle w:val="Hyperlink"/>
            <w:lang w:eastAsia="ko-KR"/>
          </w:rPr>
          <w:t>7/102</w:t>
        </w:r>
      </w:hyperlink>
      <w:r>
        <w:rPr>
          <w:lang w:eastAsia="ko-KR"/>
        </w:rPr>
        <w:t>)</w:t>
      </w:r>
      <w:r w:rsidR="00452CF6">
        <w:rPr>
          <w:lang w:eastAsia="ko-KR"/>
        </w:rPr>
        <w:t>;</w:t>
      </w:r>
    </w:p>
    <w:p w:rsidR="00AF5DEB" w:rsidRDefault="00AF5DEB" w:rsidP="00A13D67">
      <w:pPr>
        <w:pStyle w:val="ListParagraph"/>
        <w:numPr>
          <w:ilvl w:val="0"/>
          <w:numId w:val="23"/>
        </w:numPr>
        <w:spacing w:afterLines="50" w:after="120"/>
        <w:ind w:left="480" w:hangingChars="200" w:hanging="480"/>
        <w:contextualSpacing w:val="0"/>
        <w:jc w:val="both"/>
      </w:pPr>
      <w:r>
        <w:t>WP</w:t>
      </w:r>
      <w:r w:rsidR="00452CF6">
        <w:t xml:space="preserve"> </w:t>
      </w:r>
      <w:r>
        <w:t xml:space="preserve">7D – </w:t>
      </w:r>
      <w:r w:rsidRPr="001B5566">
        <w:t>Draft revision of Report ITU-R RA.2189</w:t>
      </w:r>
      <w:r>
        <w:t xml:space="preserve"> </w:t>
      </w:r>
      <w:r>
        <w:rPr>
          <w:lang w:eastAsia="ko-KR"/>
        </w:rPr>
        <w:t>(Doc.</w:t>
      </w:r>
      <w:r>
        <w:t xml:space="preserve"> </w:t>
      </w:r>
      <w:hyperlink r:id="rId14" w:history="1">
        <w:r>
          <w:rPr>
            <w:rStyle w:val="Hyperlink"/>
            <w:lang w:eastAsia="ko-KR"/>
          </w:rPr>
          <w:t>7/96</w:t>
        </w:r>
      </w:hyperlink>
      <w:r>
        <w:rPr>
          <w:lang w:eastAsia="ko-KR"/>
        </w:rPr>
        <w:t>)</w:t>
      </w:r>
      <w:r w:rsidR="00452CF6">
        <w:rPr>
          <w:lang w:eastAsia="ko-KR"/>
        </w:rPr>
        <w:t>;</w:t>
      </w:r>
    </w:p>
    <w:p w:rsidR="00D068D5" w:rsidRPr="005D33E5" w:rsidRDefault="00D068D5" w:rsidP="00A13D67">
      <w:pPr>
        <w:pStyle w:val="ListParagraph"/>
        <w:numPr>
          <w:ilvl w:val="0"/>
          <w:numId w:val="23"/>
        </w:numPr>
        <w:spacing w:afterLines="50" w:after="120"/>
        <w:ind w:left="480" w:hangingChars="200" w:hanging="480"/>
        <w:contextualSpacing w:val="0"/>
        <w:jc w:val="both"/>
      </w:pPr>
      <w:r w:rsidRPr="005D33E5">
        <w:rPr>
          <w:lang w:eastAsia="ko-KR"/>
        </w:rPr>
        <w:t xml:space="preserve">AWG – </w:t>
      </w:r>
      <w:r w:rsidRPr="005D33E5">
        <w:rPr>
          <w:rFonts w:eastAsia="MS Mincho"/>
          <w:lang w:eastAsia="ja-JP"/>
        </w:rPr>
        <w:t>APT Report on "Short Range Radiocommunication Systems and Application Scenarios Operating in the Frequency Range 275-1000GHz"</w:t>
      </w:r>
      <w:r w:rsidR="00452CF6">
        <w:rPr>
          <w:rFonts w:eastAsia="MS Mincho"/>
          <w:lang w:eastAsia="ja-JP"/>
        </w:rPr>
        <w:t xml:space="preserve"> (</w:t>
      </w:r>
      <w:r w:rsidRPr="005D33E5">
        <w:rPr>
          <w:rFonts w:eastAsia="MS Mincho"/>
          <w:lang w:eastAsia="ja-JP"/>
        </w:rPr>
        <w:t>Doc. APT/AWG/REP-66</w:t>
      </w:r>
      <w:r w:rsidR="00452CF6">
        <w:rPr>
          <w:rFonts w:eastAsia="MS Mincho"/>
          <w:lang w:eastAsia="ja-JP"/>
        </w:rPr>
        <w:t>).</w:t>
      </w:r>
    </w:p>
    <w:p w:rsidR="00AE5A98" w:rsidRDefault="00402333" w:rsidP="00452CF6">
      <w:pPr>
        <w:spacing w:afterLines="50" w:after="120"/>
        <w:jc w:val="both"/>
      </w:pPr>
      <w:r>
        <w:t xml:space="preserve">Summary of </w:t>
      </w:r>
      <w:r w:rsidR="00AE5A98">
        <w:t xml:space="preserve">Methods in </w:t>
      </w:r>
      <w:r w:rsidR="00BD6597">
        <w:rPr>
          <w:rFonts w:eastAsia="MS Mincho" w:hint="eastAsia"/>
          <w:lang w:eastAsia="ja-JP"/>
        </w:rPr>
        <w:t>draft CPM report</w:t>
      </w:r>
      <w:r>
        <w:t>:</w:t>
      </w:r>
    </w:p>
    <w:p w:rsidR="00971D8F" w:rsidRDefault="0061787B" w:rsidP="00A13D67">
      <w:pPr>
        <w:pStyle w:val="ListParagraph"/>
        <w:numPr>
          <w:ilvl w:val="0"/>
          <w:numId w:val="23"/>
        </w:numPr>
        <w:spacing w:afterLines="50" w:after="120"/>
        <w:ind w:left="480" w:hangingChars="200" w:hanging="480"/>
        <w:contextualSpacing w:val="0"/>
        <w:jc w:val="both"/>
      </w:pPr>
      <w:r w:rsidRPr="00971D8F">
        <w:rPr>
          <w:b/>
        </w:rPr>
        <w:t>Method A</w:t>
      </w:r>
      <w:r>
        <w:t xml:space="preserve">: </w:t>
      </w:r>
      <w:r w:rsidRPr="003A4684">
        <w:t>No change to the Radio Regulations.</w:t>
      </w:r>
    </w:p>
    <w:p w:rsidR="00971D8F" w:rsidRDefault="0061787B" w:rsidP="00A13D67">
      <w:pPr>
        <w:pStyle w:val="ListParagraph"/>
        <w:numPr>
          <w:ilvl w:val="0"/>
          <w:numId w:val="23"/>
        </w:numPr>
        <w:spacing w:afterLines="50" w:after="120"/>
        <w:ind w:left="480" w:hangingChars="200" w:hanging="480"/>
        <w:contextualSpacing w:val="0"/>
        <w:jc w:val="both"/>
      </w:pPr>
      <w:r w:rsidRPr="00971D8F">
        <w:rPr>
          <w:b/>
        </w:rPr>
        <w:t>Method B</w:t>
      </w:r>
      <w:r>
        <w:t xml:space="preserve">: </w:t>
      </w:r>
      <w:r w:rsidRPr="003A4684">
        <w:t xml:space="preserve">Modifying the existing footnote RR No. </w:t>
      </w:r>
      <w:r w:rsidRPr="00971D8F">
        <w:rPr>
          <w:b/>
        </w:rPr>
        <w:t>5.565</w:t>
      </w:r>
      <w:r w:rsidRPr="003A4684">
        <w:t xml:space="preserve"> is proposed for FS/LMS applications in portions of the 275-450 GHz frequency range.</w:t>
      </w:r>
      <w:bookmarkStart w:id="0" w:name="_GoBack"/>
      <w:bookmarkEnd w:id="0"/>
    </w:p>
    <w:p w:rsidR="00971D8F" w:rsidRPr="00971D8F" w:rsidRDefault="0061787B" w:rsidP="00A13D67">
      <w:pPr>
        <w:pStyle w:val="ListParagraph"/>
        <w:numPr>
          <w:ilvl w:val="0"/>
          <w:numId w:val="23"/>
        </w:numPr>
        <w:spacing w:afterLines="50" w:after="120"/>
        <w:ind w:left="482" w:hangingChars="200" w:hanging="482"/>
        <w:contextualSpacing w:val="0"/>
        <w:jc w:val="both"/>
      </w:pPr>
      <w:r w:rsidRPr="00971D8F">
        <w:rPr>
          <w:rFonts w:eastAsiaTheme="minorEastAsia" w:hint="eastAsia"/>
          <w:b/>
          <w:lang w:eastAsia="ja-JP"/>
        </w:rPr>
        <w:lastRenderedPageBreak/>
        <w:t>M</w:t>
      </w:r>
      <w:r w:rsidRPr="00971D8F">
        <w:rPr>
          <w:rFonts w:eastAsiaTheme="minorEastAsia"/>
          <w:b/>
          <w:lang w:eastAsia="ja-JP"/>
        </w:rPr>
        <w:t>ethod C</w:t>
      </w:r>
      <w:r w:rsidRPr="00971D8F">
        <w:rPr>
          <w:rFonts w:eastAsiaTheme="minorEastAsia"/>
          <w:lang w:eastAsia="ja-JP"/>
        </w:rPr>
        <w:t xml:space="preserve">: </w:t>
      </w:r>
      <w:r w:rsidR="00C269D3" w:rsidRPr="00971D8F">
        <w:rPr>
          <w:rFonts w:eastAsiaTheme="minorEastAsia"/>
          <w:lang w:eastAsia="ja-JP"/>
        </w:rPr>
        <w:t>M</w:t>
      </w:r>
      <w:r w:rsidRPr="00971D8F">
        <w:rPr>
          <w:rFonts w:eastAsiaTheme="minorEastAsia"/>
          <w:lang w:eastAsia="ja-JP"/>
        </w:rPr>
        <w:t>odify</w:t>
      </w:r>
      <w:r w:rsidR="00C269D3" w:rsidRPr="00971D8F">
        <w:rPr>
          <w:rFonts w:eastAsiaTheme="minorEastAsia"/>
          <w:lang w:eastAsia="ja-JP"/>
        </w:rPr>
        <w:t>ing</w:t>
      </w:r>
      <w:r w:rsidRPr="00971D8F">
        <w:rPr>
          <w:rFonts w:eastAsiaTheme="minorEastAsia"/>
          <w:lang w:eastAsia="ja-JP"/>
        </w:rPr>
        <w:t xml:space="preserve"> RR No. </w:t>
      </w:r>
      <w:r w:rsidRPr="00971D8F">
        <w:rPr>
          <w:rFonts w:eastAsiaTheme="minorEastAsia"/>
          <w:b/>
          <w:lang w:eastAsia="ja-JP"/>
        </w:rPr>
        <w:t>5.565</w:t>
      </w:r>
      <w:r w:rsidRPr="00971D8F">
        <w:rPr>
          <w:rFonts w:eastAsiaTheme="minorEastAsia"/>
          <w:lang w:eastAsia="ja-JP"/>
        </w:rPr>
        <w:t xml:space="preserve"> for use by </w:t>
      </w:r>
      <w:r w:rsidR="00C85C65" w:rsidRPr="00971D8F">
        <w:rPr>
          <w:rFonts w:eastAsiaTheme="minorEastAsia"/>
          <w:lang w:eastAsia="ja-JP"/>
        </w:rPr>
        <w:t>FS/LMS</w:t>
      </w:r>
      <w:r w:rsidRPr="00971D8F">
        <w:rPr>
          <w:rFonts w:eastAsiaTheme="minorEastAsia"/>
          <w:lang w:eastAsia="ja-JP"/>
        </w:rPr>
        <w:t xml:space="preserve"> applications in portions of the 275-450 GHz band, while considering the evolving guidance of ITU R Recommendations and Reports.</w:t>
      </w:r>
    </w:p>
    <w:p w:rsidR="00971D8F" w:rsidRPr="00971D8F" w:rsidRDefault="0061787B" w:rsidP="00A13D67">
      <w:pPr>
        <w:pStyle w:val="ListParagraph"/>
        <w:numPr>
          <w:ilvl w:val="0"/>
          <w:numId w:val="23"/>
        </w:numPr>
        <w:spacing w:afterLines="50" w:after="120"/>
        <w:ind w:left="482" w:hangingChars="200" w:hanging="482"/>
        <w:contextualSpacing w:val="0"/>
        <w:jc w:val="both"/>
      </w:pPr>
      <w:r w:rsidRPr="00971D8F">
        <w:rPr>
          <w:rFonts w:eastAsiaTheme="minorEastAsia" w:hint="eastAsia"/>
          <w:b/>
          <w:lang w:eastAsia="ja-JP"/>
        </w:rPr>
        <w:t>M</w:t>
      </w:r>
      <w:r w:rsidRPr="00971D8F">
        <w:rPr>
          <w:rFonts w:eastAsiaTheme="minorEastAsia"/>
          <w:b/>
          <w:lang w:eastAsia="ja-JP"/>
        </w:rPr>
        <w:t>ethod D</w:t>
      </w:r>
      <w:r w:rsidRPr="00971D8F">
        <w:rPr>
          <w:rFonts w:eastAsiaTheme="minorEastAsia"/>
          <w:lang w:eastAsia="ja-JP"/>
        </w:rPr>
        <w:t xml:space="preserve">: Adding a new footnote RR No. </w:t>
      </w:r>
      <w:r w:rsidRPr="00971D8F">
        <w:rPr>
          <w:rFonts w:eastAsiaTheme="minorEastAsia"/>
          <w:b/>
          <w:lang w:eastAsia="ja-JP"/>
        </w:rPr>
        <w:t>5.A115/5.B115</w:t>
      </w:r>
      <w:r w:rsidRPr="00971D8F">
        <w:rPr>
          <w:rFonts w:eastAsiaTheme="minorEastAsia"/>
          <w:lang w:eastAsia="ja-JP"/>
        </w:rPr>
        <w:t xml:space="preserve"> is proposed for FS/LMS applications in portions of the 275-450 GHz band. There are two different options, </w:t>
      </w:r>
      <w:r w:rsidRPr="00971D8F">
        <w:rPr>
          <w:rFonts w:eastAsiaTheme="minorEastAsia"/>
          <w:b/>
          <w:lang w:eastAsia="ja-JP"/>
        </w:rPr>
        <w:t>Option 1</w:t>
      </w:r>
      <w:r w:rsidRPr="00971D8F">
        <w:rPr>
          <w:rFonts w:eastAsiaTheme="minorEastAsia"/>
          <w:lang w:eastAsia="ja-JP"/>
        </w:rPr>
        <w:t xml:space="preserve"> and </w:t>
      </w:r>
      <w:r w:rsidRPr="00971D8F">
        <w:rPr>
          <w:rFonts w:eastAsiaTheme="minorEastAsia"/>
          <w:b/>
          <w:lang w:eastAsia="ja-JP"/>
        </w:rPr>
        <w:t>Option 2</w:t>
      </w:r>
      <w:r w:rsidRPr="00971D8F">
        <w:rPr>
          <w:rFonts w:eastAsiaTheme="minorEastAsia"/>
          <w:lang w:eastAsia="ja-JP"/>
        </w:rPr>
        <w:t xml:space="preserve"> which consider the identification of different frequency bands based on the results of the studies.</w:t>
      </w:r>
    </w:p>
    <w:p w:rsidR="0061787B" w:rsidRPr="00C269D3" w:rsidRDefault="0061787B" w:rsidP="00A13D67">
      <w:pPr>
        <w:pStyle w:val="ListParagraph"/>
        <w:numPr>
          <w:ilvl w:val="0"/>
          <w:numId w:val="23"/>
        </w:numPr>
        <w:spacing w:afterLines="50" w:after="120"/>
        <w:ind w:left="482" w:hangingChars="200" w:hanging="482"/>
        <w:contextualSpacing w:val="0"/>
        <w:jc w:val="both"/>
      </w:pPr>
      <w:r w:rsidRPr="00971D8F">
        <w:rPr>
          <w:rFonts w:eastAsiaTheme="minorEastAsia" w:hint="eastAsia"/>
          <w:b/>
          <w:lang w:eastAsia="ja-JP"/>
        </w:rPr>
        <w:t>M</w:t>
      </w:r>
      <w:r w:rsidRPr="00971D8F">
        <w:rPr>
          <w:rFonts w:eastAsiaTheme="minorEastAsia"/>
          <w:b/>
          <w:lang w:eastAsia="ja-JP"/>
        </w:rPr>
        <w:t>ethod E</w:t>
      </w:r>
      <w:r w:rsidRPr="00971D8F">
        <w:rPr>
          <w:rFonts w:eastAsiaTheme="minorEastAsia"/>
          <w:lang w:eastAsia="ja-JP"/>
        </w:rPr>
        <w:t xml:space="preserve">: Adding a new footnote RR No. </w:t>
      </w:r>
      <w:r w:rsidRPr="00971D8F">
        <w:rPr>
          <w:rFonts w:eastAsiaTheme="minorEastAsia"/>
          <w:b/>
          <w:lang w:eastAsia="ja-JP"/>
        </w:rPr>
        <w:t>5.C115</w:t>
      </w:r>
      <w:r w:rsidRPr="00971D8F">
        <w:rPr>
          <w:rFonts w:eastAsiaTheme="minorEastAsia"/>
          <w:lang w:eastAsia="ja-JP"/>
        </w:rPr>
        <w:t xml:space="preserve"> and modifying the existing footnote RR No. </w:t>
      </w:r>
      <w:r w:rsidRPr="00971D8F">
        <w:rPr>
          <w:rFonts w:eastAsiaTheme="minorEastAsia"/>
          <w:b/>
          <w:lang w:eastAsia="ja-JP"/>
        </w:rPr>
        <w:t>5.565</w:t>
      </w:r>
      <w:r w:rsidRPr="00971D8F">
        <w:rPr>
          <w:rFonts w:eastAsiaTheme="minorEastAsia"/>
          <w:lang w:eastAsia="ja-JP"/>
        </w:rPr>
        <w:t xml:space="preserve"> are proposed for FS/LMS applications in portions of the 275-450 GHz band.</w:t>
      </w:r>
    </w:p>
    <w:p w:rsidR="00667CE0" w:rsidRDefault="00667CE0" w:rsidP="00971D8F">
      <w:pPr>
        <w:pStyle w:val="ListParagraph"/>
        <w:numPr>
          <w:ilvl w:val="0"/>
          <w:numId w:val="11"/>
        </w:numPr>
        <w:adjustRightInd w:val="0"/>
        <w:spacing w:afterLines="50" w:after="120"/>
        <w:ind w:left="0" w:firstLine="0"/>
        <w:contextualSpacing w:val="0"/>
        <w:rPr>
          <w:b/>
          <w:lang w:eastAsia="ko-KR"/>
        </w:rPr>
      </w:pPr>
      <w:r w:rsidRPr="00667CE0">
        <w:rPr>
          <w:b/>
          <w:lang w:eastAsia="ko-KR"/>
        </w:rPr>
        <w:t>Documents</w:t>
      </w:r>
    </w:p>
    <w:p w:rsidR="00E13357" w:rsidRPr="00A13D67" w:rsidRDefault="00667CE0" w:rsidP="00F01400">
      <w:pPr>
        <w:pStyle w:val="ListParagraph"/>
        <w:numPr>
          <w:ilvl w:val="0"/>
          <w:numId w:val="23"/>
        </w:numPr>
        <w:spacing w:afterLines="50" w:after="120"/>
        <w:ind w:left="480" w:hangingChars="200" w:hanging="480"/>
        <w:contextualSpacing w:val="0"/>
        <w:jc w:val="both"/>
        <w:rPr>
          <w:lang w:val="en-NZ"/>
        </w:rPr>
      </w:pPr>
      <w:r w:rsidRPr="00A13D67">
        <w:rPr>
          <w:lang w:val="en-NZ"/>
        </w:rPr>
        <w:t>Input Documents</w:t>
      </w:r>
      <w:r w:rsidR="00A13D67" w:rsidRPr="00A13D67">
        <w:rPr>
          <w:lang w:val="en-NZ"/>
        </w:rPr>
        <w:t xml:space="preserve">: </w:t>
      </w:r>
      <w:r w:rsidR="00E13357" w:rsidRPr="00A13D67">
        <w:rPr>
          <w:lang w:val="en-NZ"/>
        </w:rPr>
        <w:t>APG19-4/INP-15 (AUS), INP-22 (NZL), INP-29 (THA), INP-59 (JPN), INP-73 (KOR), INP-100 (CHN), INP-117 (IND)</w:t>
      </w:r>
      <w:r w:rsidR="0088787A" w:rsidRPr="00A13D67">
        <w:rPr>
          <w:lang w:val="en-NZ"/>
        </w:rPr>
        <w:t>, INP-66 (JPN), INP-103 (CHN)</w:t>
      </w:r>
      <w:r w:rsidR="00971D8F" w:rsidRPr="00A13D67">
        <w:rPr>
          <w:lang w:val="en-NZ"/>
        </w:rPr>
        <w:t>.</w:t>
      </w:r>
    </w:p>
    <w:p w:rsidR="00667CE0" w:rsidRPr="00A13D67" w:rsidRDefault="00667CE0" w:rsidP="00E153B1">
      <w:pPr>
        <w:pStyle w:val="ListParagraph"/>
        <w:numPr>
          <w:ilvl w:val="0"/>
          <w:numId w:val="23"/>
        </w:numPr>
        <w:spacing w:afterLines="50" w:after="120"/>
        <w:ind w:left="480" w:hangingChars="200" w:hanging="480"/>
        <w:contextualSpacing w:val="0"/>
        <w:jc w:val="both"/>
        <w:rPr>
          <w:lang w:val="en-NZ"/>
        </w:rPr>
      </w:pPr>
      <w:r w:rsidRPr="00A13D67">
        <w:rPr>
          <w:lang w:val="en-NZ"/>
        </w:rPr>
        <w:t>Information Documents</w:t>
      </w:r>
      <w:r w:rsidR="00A13D67" w:rsidRPr="00A13D67">
        <w:rPr>
          <w:lang w:val="en-NZ"/>
        </w:rPr>
        <w:t xml:space="preserve">: </w:t>
      </w:r>
      <w:r w:rsidRPr="00A13D67">
        <w:rPr>
          <w:lang w:val="en-NZ"/>
        </w:rPr>
        <w:t>APG19-</w:t>
      </w:r>
      <w:r w:rsidR="00E13357" w:rsidRPr="00A13D67">
        <w:rPr>
          <w:lang w:val="en-NZ"/>
        </w:rPr>
        <w:t>4</w:t>
      </w:r>
      <w:r w:rsidRPr="00A13D67">
        <w:rPr>
          <w:lang w:val="en-NZ"/>
        </w:rPr>
        <w:t>/ INF-0</w:t>
      </w:r>
      <w:r w:rsidR="00E13357" w:rsidRPr="00A13D67">
        <w:rPr>
          <w:lang w:val="en-NZ"/>
        </w:rPr>
        <w:t>2</w:t>
      </w:r>
      <w:r w:rsidRPr="00A13D67">
        <w:rPr>
          <w:lang w:val="en-NZ"/>
        </w:rPr>
        <w:t xml:space="preserve"> (</w:t>
      </w:r>
      <w:r w:rsidR="00E13357" w:rsidRPr="00A13D67">
        <w:rPr>
          <w:lang w:val="en-NZ"/>
        </w:rPr>
        <w:t>WMO</w:t>
      </w:r>
      <w:r w:rsidRPr="00A13D67">
        <w:rPr>
          <w:lang w:val="en-NZ"/>
        </w:rPr>
        <w:t>), INF-0</w:t>
      </w:r>
      <w:r w:rsidR="00E13357" w:rsidRPr="00A13D67">
        <w:rPr>
          <w:lang w:val="en-NZ"/>
        </w:rPr>
        <w:t>3</w:t>
      </w:r>
      <w:r w:rsidRPr="00A13D67">
        <w:rPr>
          <w:lang w:val="en-NZ"/>
        </w:rPr>
        <w:t xml:space="preserve"> (IARU)</w:t>
      </w:r>
      <w:r w:rsidR="002366D2" w:rsidRPr="00A13D67">
        <w:rPr>
          <w:lang w:val="en-NZ"/>
        </w:rPr>
        <w:t>, INF-22 (CITEL), INF-23 (CEPT), INF-24 (RCC)</w:t>
      </w:r>
      <w:r w:rsidR="00F71A74" w:rsidRPr="00A13D67">
        <w:rPr>
          <w:lang w:val="en-NZ"/>
        </w:rPr>
        <w:t xml:space="preserve">, </w:t>
      </w:r>
      <w:r w:rsidR="00A13D67" w:rsidRPr="00A13D67">
        <w:rPr>
          <w:lang w:val="en-NZ"/>
        </w:rPr>
        <w:t>APG19-4</w:t>
      </w:r>
      <w:r w:rsidR="00A13D67">
        <w:rPr>
          <w:lang w:val="en-NZ"/>
        </w:rPr>
        <w:t>/</w:t>
      </w:r>
      <w:r w:rsidR="00F71A74" w:rsidRPr="00A13D67">
        <w:rPr>
          <w:lang w:val="en-NZ"/>
        </w:rPr>
        <w:t>INP-09 (</w:t>
      </w:r>
      <w:r w:rsidR="00A13D67">
        <w:rPr>
          <w:lang w:val="en-NZ"/>
        </w:rPr>
        <w:t>APG Chair</w:t>
      </w:r>
      <w:r w:rsidR="00F71A74" w:rsidRPr="00A13D67">
        <w:rPr>
          <w:lang w:val="en-NZ"/>
        </w:rPr>
        <w:t>)</w:t>
      </w:r>
      <w:r w:rsidR="00971D8F" w:rsidRPr="00A13D67">
        <w:rPr>
          <w:lang w:val="en-NZ"/>
        </w:rPr>
        <w:t>.</w:t>
      </w:r>
    </w:p>
    <w:p w:rsidR="00667CE0" w:rsidRDefault="00667CE0" w:rsidP="00971D8F">
      <w:pPr>
        <w:pStyle w:val="ListParagraph"/>
        <w:numPr>
          <w:ilvl w:val="0"/>
          <w:numId w:val="11"/>
        </w:numPr>
        <w:spacing w:afterLines="50" w:after="120"/>
        <w:ind w:left="0" w:firstLine="0"/>
        <w:contextualSpacing w:val="0"/>
        <w:rPr>
          <w:b/>
          <w:lang w:val="en-NZ" w:eastAsia="ko-KR"/>
        </w:rPr>
      </w:pPr>
      <w:r w:rsidRPr="00E75714">
        <w:rPr>
          <w:b/>
          <w:lang w:val="en-NZ" w:eastAsia="ko-KR"/>
        </w:rPr>
        <w:t>Summary of Discussions</w:t>
      </w:r>
    </w:p>
    <w:p w:rsidR="00667CE0" w:rsidRDefault="00667CE0" w:rsidP="00971D8F">
      <w:pPr>
        <w:pStyle w:val="ListParagraph"/>
        <w:numPr>
          <w:ilvl w:val="1"/>
          <w:numId w:val="13"/>
        </w:numPr>
        <w:spacing w:afterLines="50" w:after="120"/>
        <w:ind w:left="0" w:firstLine="0"/>
        <w:contextualSpacing w:val="0"/>
        <w:rPr>
          <w:b/>
          <w:lang w:val="en-NZ" w:eastAsia="ko-KR"/>
        </w:rPr>
      </w:pPr>
      <w:r w:rsidRPr="00E75714">
        <w:rPr>
          <w:b/>
          <w:lang w:val="en-NZ" w:eastAsia="ko-KR"/>
        </w:rPr>
        <w:t>S</w:t>
      </w:r>
      <w:r w:rsidRPr="00E75714">
        <w:rPr>
          <w:rFonts w:hint="eastAsia"/>
          <w:b/>
          <w:lang w:val="en-NZ" w:eastAsia="ko-KR"/>
        </w:rPr>
        <w:t xml:space="preserve">ummary </w:t>
      </w:r>
      <w:r w:rsidRPr="00E75714">
        <w:rPr>
          <w:b/>
          <w:lang w:val="en-NZ" w:eastAsia="ko-KR"/>
        </w:rPr>
        <w:t>of Members’ view</w:t>
      </w:r>
    </w:p>
    <w:p w:rsidR="00DE273D" w:rsidRDefault="00AA2C45" w:rsidP="00452CF6">
      <w:pPr>
        <w:pStyle w:val="ListParagraph"/>
        <w:numPr>
          <w:ilvl w:val="2"/>
          <w:numId w:val="13"/>
        </w:numPr>
        <w:spacing w:afterLines="50" w:after="120"/>
        <w:ind w:left="0" w:firstLine="0"/>
        <w:contextualSpacing w:val="0"/>
        <w:jc w:val="both"/>
        <w:rPr>
          <w:b/>
          <w:lang w:val="en-NZ" w:eastAsia="ko-KR"/>
        </w:rPr>
      </w:pPr>
      <w:r w:rsidRPr="006D6030">
        <w:rPr>
          <w:b/>
          <w:lang w:val="en-NZ" w:eastAsia="ko-KR"/>
        </w:rPr>
        <w:t>Australia (</w:t>
      </w:r>
      <w:r w:rsidRPr="00442217">
        <w:rPr>
          <w:b/>
          <w:lang w:val="en-NZ"/>
        </w:rPr>
        <w:t>APG19-</w:t>
      </w:r>
      <w:r>
        <w:rPr>
          <w:b/>
          <w:lang w:val="en-NZ"/>
        </w:rPr>
        <w:t>4</w:t>
      </w:r>
      <w:r w:rsidRPr="00442217">
        <w:rPr>
          <w:b/>
          <w:lang w:val="en-NZ"/>
        </w:rPr>
        <w:t>/</w:t>
      </w:r>
      <w:r w:rsidRPr="006D6030">
        <w:rPr>
          <w:b/>
          <w:lang w:val="en-NZ" w:eastAsia="ko-KR"/>
        </w:rPr>
        <w:t>INP-</w:t>
      </w:r>
      <w:r>
        <w:rPr>
          <w:b/>
          <w:lang w:val="en-NZ" w:eastAsia="ko-KR"/>
        </w:rPr>
        <w:t>15)</w:t>
      </w:r>
    </w:p>
    <w:p w:rsidR="00806638" w:rsidRPr="00806638" w:rsidRDefault="00806638" w:rsidP="00452CF6">
      <w:pPr>
        <w:pStyle w:val="ListParagraph"/>
        <w:spacing w:afterLines="50" w:after="120"/>
        <w:ind w:left="0"/>
        <w:contextualSpacing w:val="0"/>
        <w:jc w:val="both"/>
        <w:rPr>
          <w:lang w:val="en-AU"/>
        </w:rPr>
      </w:pPr>
      <w:r w:rsidRPr="00806638">
        <w:rPr>
          <w:lang w:val="en-AU"/>
        </w:rPr>
        <w:t>Australia supports the identification of frequency bands for use by administrations for the land-mobile and fixed services applications operating in the frequency range 275</w:t>
      </w:r>
      <w:r w:rsidRPr="00806638">
        <w:rPr>
          <w:lang w:val="en-AU"/>
        </w:rPr>
        <w:noBreakHyphen/>
        <w:t xml:space="preserve">450 GHz, in accordance with Resolution </w:t>
      </w:r>
      <w:r w:rsidRPr="00806638">
        <w:rPr>
          <w:b/>
          <w:lang w:val="en-AU"/>
        </w:rPr>
        <w:t xml:space="preserve">767 (WRC-15) </w:t>
      </w:r>
      <w:r w:rsidRPr="00806638">
        <w:rPr>
          <w:lang w:val="en-AU"/>
        </w:rPr>
        <w:t>noting the need to maintain protection of the passive services identified in Radio Regulations No.</w:t>
      </w:r>
      <w:r w:rsidRPr="00806638">
        <w:rPr>
          <w:b/>
          <w:lang w:val="en-AU"/>
        </w:rPr>
        <w:t xml:space="preserve"> 5.565</w:t>
      </w:r>
      <w:r w:rsidRPr="00806638">
        <w:rPr>
          <w:lang w:val="en-AU"/>
        </w:rPr>
        <w:t>.</w:t>
      </w:r>
    </w:p>
    <w:p w:rsidR="00806638" w:rsidRPr="00806638" w:rsidRDefault="00806638" w:rsidP="00452CF6">
      <w:pPr>
        <w:pStyle w:val="ListParagraph"/>
        <w:spacing w:afterLines="50" w:after="120"/>
        <w:ind w:left="0"/>
        <w:contextualSpacing w:val="0"/>
        <w:jc w:val="both"/>
        <w:rPr>
          <w:lang w:val="en-AU"/>
        </w:rPr>
      </w:pPr>
      <w:r w:rsidRPr="00806638">
        <w:rPr>
          <w:lang w:val="en-AU"/>
        </w:rPr>
        <w:t xml:space="preserve">Australia supports Method C in the Draft CPM Report text for this agenda item. That is, identify frequency bands that are compatible with both EESS (passive) and RAS with respect to the land-mobile and fixed services applications by modification of footnote </w:t>
      </w:r>
      <w:r w:rsidRPr="00806638">
        <w:rPr>
          <w:b/>
          <w:lang w:val="en-AU"/>
        </w:rPr>
        <w:t>5.565</w:t>
      </w:r>
      <w:r w:rsidRPr="00806638">
        <w:rPr>
          <w:lang w:val="en-AU"/>
        </w:rPr>
        <w:t xml:space="preserve"> in the Radio Regulations.</w:t>
      </w:r>
    </w:p>
    <w:p w:rsidR="00AA2C45" w:rsidRPr="00806638" w:rsidRDefault="00806638" w:rsidP="00452CF6">
      <w:pPr>
        <w:pStyle w:val="ListParagraph"/>
        <w:spacing w:afterLines="50" w:after="120"/>
        <w:ind w:left="0"/>
        <w:contextualSpacing w:val="0"/>
        <w:jc w:val="both"/>
        <w:rPr>
          <w:b/>
          <w:lang w:val="en-NZ" w:eastAsia="ko-KR"/>
        </w:rPr>
      </w:pPr>
      <w:r w:rsidRPr="00806638">
        <w:rPr>
          <w:lang w:val="en-AU"/>
        </w:rPr>
        <w:t>Preliminary studies show compatibility between EESS (passive) and RAS in all bands in the range 275-450 GHz except [</w:t>
      </w:r>
      <w:r w:rsidRPr="00806638">
        <w:rPr>
          <w:bCs/>
          <w:iCs/>
          <w:lang w:val="en-AU"/>
        </w:rPr>
        <w:t>296</w:t>
      </w:r>
      <w:r w:rsidRPr="00806638">
        <w:rPr>
          <w:lang w:val="en-AU"/>
        </w:rPr>
        <w:t>-306 GHz, 313-320 GHz and 331-356 GHz]. The remaining spectrum can be identified for land-mobile and fixed services applications subject to finalisation of studies.</w:t>
      </w:r>
    </w:p>
    <w:p w:rsidR="00AA2C45" w:rsidRDefault="00AA2C45" w:rsidP="00452CF6">
      <w:pPr>
        <w:pStyle w:val="ListParagraph"/>
        <w:numPr>
          <w:ilvl w:val="2"/>
          <w:numId w:val="13"/>
        </w:numPr>
        <w:spacing w:afterLines="50" w:after="120"/>
        <w:ind w:left="0" w:firstLine="0"/>
        <w:contextualSpacing w:val="0"/>
        <w:jc w:val="both"/>
        <w:rPr>
          <w:b/>
          <w:lang w:val="en-NZ" w:eastAsia="ko-KR"/>
        </w:rPr>
      </w:pPr>
      <w:r>
        <w:rPr>
          <w:b/>
          <w:lang w:val="en-NZ" w:eastAsia="ko-KR"/>
        </w:rPr>
        <w:t>New Zealand</w:t>
      </w:r>
      <w:r w:rsidRPr="006D6030">
        <w:rPr>
          <w:b/>
          <w:lang w:val="en-NZ" w:eastAsia="ko-KR"/>
        </w:rPr>
        <w:t xml:space="preserve"> (</w:t>
      </w:r>
      <w:r w:rsidRPr="00442217">
        <w:rPr>
          <w:b/>
          <w:lang w:val="en-NZ"/>
        </w:rPr>
        <w:t>APG19-</w:t>
      </w:r>
      <w:r>
        <w:rPr>
          <w:b/>
          <w:lang w:val="en-NZ"/>
        </w:rPr>
        <w:t>4</w:t>
      </w:r>
      <w:r w:rsidRPr="00442217">
        <w:rPr>
          <w:b/>
          <w:lang w:val="en-NZ"/>
        </w:rPr>
        <w:t>/</w:t>
      </w:r>
      <w:r w:rsidRPr="006D6030">
        <w:rPr>
          <w:b/>
          <w:lang w:val="en-NZ" w:eastAsia="ko-KR"/>
        </w:rPr>
        <w:t>INP-</w:t>
      </w:r>
      <w:r>
        <w:rPr>
          <w:b/>
          <w:lang w:val="en-NZ" w:eastAsia="ko-KR"/>
        </w:rPr>
        <w:t>22)</w:t>
      </w:r>
    </w:p>
    <w:p w:rsidR="00AA2C45" w:rsidRDefault="00AF119E" w:rsidP="00452CF6">
      <w:pPr>
        <w:pStyle w:val="ListParagraph"/>
        <w:spacing w:afterLines="50" w:after="120"/>
        <w:ind w:left="0"/>
        <w:contextualSpacing w:val="0"/>
        <w:jc w:val="both"/>
        <w:rPr>
          <w:b/>
          <w:lang w:val="en-NZ" w:eastAsia="ko-KR"/>
        </w:rPr>
      </w:pPr>
      <w:r w:rsidRPr="00C11895">
        <w:rPr>
          <w:lang w:val="en-NZ"/>
        </w:rPr>
        <w:t xml:space="preserve">New Zealand supports the allocation of fixed and land mobile services in portions of the 275-450 GHz band to facilitate the development of innovative radiocommunication technologies utilising frequency range above 275 GHz by active services, such as fixed and land-mobile services, as long as such active service applications would not cause harmful interference to those passive service applications as indicated in RR No. </w:t>
      </w:r>
      <w:r w:rsidRPr="00C11895">
        <w:rPr>
          <w:b/>
          <w:lang w:val="en-NZ"/>
        </w:rPr>
        <w:t>5.565</w:t>
      </w:r>
      <w:r w:rsidRPr="00C11895">
        <w:rPr>
          <w:lang w:val="en-NZ"/>
        </w:rPr>
        <w:t>.</w:t>
      </w:r>
    </w:p>
    <w:p w:rsidR="00AA2C45" w:rsidRDefault="00806638" w:rsidP="00452CF6">
      <w:pPr>
        <w:pStyle w:val="ListParagraph"/>
        <w:numPr>
          <w:ilvl w:val="2"/>
          <w:numId w:val="13"/>
        </w:numPr>
        <w:spacing w:afterLines="50" w:after="120"/>
        <w:ind w:left="0" w:firstLine="0"/>
        <w:contextualSpacing w:val="0"/>
        <w:jc w:val="both"/>
        <w:rPr>
          <w:b/>
          <w:lang w:val="en-NZ" w:eastAsia="ko-KR"/>
        </w:rPr>
      </w:pPr>
      <w:r>
        <w:rPr>
          <w:b/>
          <w:lang w:val="en-NZ" w:eastAsia="ko-KR"/>
        </w:rPr>
        <w:t>Thailand</w:t>
      </w:r>
      <w:r w:rsidR="00AA2C45" w:rsidRPr="006D6030">
        <w:rPr>
          <w:b/>
          <w:lang w:val="en-NZ" w:eastAsia="ko-KR"/>
        </w:rPr>
        <w:t xml:space="preserve"> (</w:t>
      </w:r>
      <w:r w:rsidR="00AA2C45" w:rsidRPr="00442217">
        <w:rPr>
          <w:b/>
          <w:lang w:val="en-NZ"/>
        </w:rPr>
        <w:t>APG19-</w:t>
      </w:r>
      <w:r w:rsidR="00AA2C45">
        <w:rPr>
          <w:b/>
          <w:lang w:val="en-NZ"/>
        </w:rPr>
        <w:t>4</w:t>
      </w:r>
      <w:r w:rsidR="00AA2C45" w:rsidRPr="00442217">
        <w:rPr>
          <w:b/>
          <w:lang w:val="en-NZ"/>
        </w:rPr>
        <w:t>/</w:t>
      </w:r>
      <w:r w:rsidR="00AA2C45" w:rsidRPr="006D6030">
        <w:rPr>
          <w:b/>
          <w:lang w:val="en-NZ" w:eastAsia="ko-KR"/>
        </w:rPr>
        <w:t>INP-</w:t>
      </w:r>
      <w:r>
        <w:rPr>
          <w:b/>
          <w:lang w:val="en-NZ" w:eastAsia="ko-KR"/>
        </w:rPr>
        <w:t>29</w:t>
      </w:r>
      <w:r w:rsidR="00AA2C45">
        <w:rPr>
          <w:b/>
          <w:lang w:val="en-NZ" w:eastAsia="ko-KR"/>
        </w:rPr>
        <w:t>)</w:t>
      </w:r>
    </w:p>
    <w:p w:rsidR="00AF119E" w:rsidRDefault="00AF119E" w:rsidP="00452CF6">
      <w:pPr>
        <w:pStyle w:val="ListParagraph"/>
        <w:spacing w:afterLines="50" w:after="120"/>
        <w:ind w:left="0"/>
        <w:contextualSpacing w:val="0"/>
        <w:jc w:val="both"/>
        <w:rPr>
          <w:b/>
          <w:lang w:val="en-NZ" w:eastAsia="ko-KR"/>
        </w:rPr>
      </w:pPr>
      <w:r w:rsidRPr="00D23783">
        <w:rPr>
          <w:bCs/>
        </w:rPr>
        <w:t xml:space="preserve">Thailand supports the identification of frequency bands for fixed and mobile service applications in the range 275-450 GHz while maintaining the protection of the passive services identified in RR. </w:t>
      </w:r>
      <w:r w:rsidRPr="00CE1DD9">
        <w:rPr>
          <w:b/>
          <w:bCs/>
        </w:rPr>
        <w:t>No. 5.565</w:t>
      </w:r>
      <w:r w:rsidRPr="00D23783">
        <w:rPr>
          <w:bCs/>
        </w:rPr>
        <w:t>.</w:t>
      </w:r>
    </w:p>
    <w:p w:rsidR="00806638" w:rsidRDefault="00806638" w:rsidP="00452CF6">
      <w:pPr>
        <w:pStyle w:val="ListParagraph"/>
        <w:numPr>
          <w:ilvl w:val="2"/>
          <w:numId w:val="13"/>
        </w:numPr>
        <w:spacing w:afterLines="50" w:after="120"/>
        <w:ind w:left="0" w:firstLine="0"/>
        <w:contextualSpacing w:val="0"/>
        <w:jc w:val="both"/>
        <w:rPr>
          <w:b/>
          <w:lang w:val="en-NZ" w:eastAsia="ko-KR"/>
        </w:rPr>
      </w:pPr>
      <w:r>
        <w:rPr>
          <w:b/>
          <w:lang w:val="en-NZ" w:eastAsia="ko-KR"/>
        </w:rPr>
        <w:t>Japan</w:t>
      </w:r>
      <w:r w:rsidRPr="006D6030">
        <w:rPr>
          <w:b/>
          <w:lang w:val="en-NZ" w:eastAsia="ko-KR"/>
        </w:rPr>
        <w:t xml:space="preserve"> (</w:t>
      </w:r>
      <w:r w:rsidRPr="00442217">
        <w:rPr>
          <w:b/>
          <w:lang w:val="en-NZ"/>
        </w:rPr>
        <w:t>APG19-</w:t>
      </w:r>
      <w:r>
        <w:rPr>
          <w:b/>
          <w:lang w:val="en-NZ"/>
        </w:rPr>
        <w:t>4</w:t>
      </w:r>
      <w:r w:rsidRPr="00442217">
        <w:rPr>
          <w:b/>
          <w:lang w:val="en-NZ"/>
        </w:rPr>
        <w:t>/</w:t>
      </w:r>
      <w:r w:rsidRPr="006D6030">
        <w:rPr>
          <w:b/>
          <w:lang w:val="en-NZ" w:eastAsia="ko-KR"/>
        </w:rPr>
        <w:t>INP-</w:t>
      </w:r>
      <w:r>
        <w:rPr>
          <w:b/>
          <w:lang w:val="en-NZ" w:eastAsia="ko-KR"/>
        </w:rPr>
        <w:t>59)</w:t>
      </w:r>
    </w:p>
    <w:p w:rsidR="00AF119E" w:rsidRPr="00AF119E" w:rsidRDefault="00AF119E" w:rsidP="00452CF6">
      <w:pPr>
        <w:pStyle w:val="ListParagraph"/>
        <w:spacing w:afterLines="50" w:after="120"/>
        <w:ind w:left="0"/>
        <w:contextualSpacing w:val="0"/>
        <w:jc w:val="both"/>
        <w:rPr>
          <w:rFonts w:eastAsiaTheme="minorEastAsia"/>
          <w:lang w:val="en-NZ" w:eastAsia="ja-JP"/>
        </w:rPr>
      </w:pPr>
      <w:r w:rsidRPr="00AF119E">
        <w:rPr>
          <w:rFonts w:eastAsiaTheme="minorEastAsia" w:hint="eastAsia"/>
          <w:lang w:val="en-NZ" w:eastAsia="ja-JP"/>
        </w:rPr>
        <w:t>J</w:t>
      </w:r>
      <w:r w:rsidRPr="00AF119E">
        <w:rPr>
          <w:rFonts w:eastAsiaTheme="minorEastAsia"/>
          <w:lang w:val="en-NZ" w:eastAsia="ja-JP"/>
        </w:rPr>
        <w:t>apan supports the work conducted by WP 5A and WP 5C on a revision of Reports ITU-R M.2417 and F.2416, respectively.</w:t>
      </w:r>
    </w:p>
    <w:p w:rsidR="00AF119E" w:rsidRPr="00AF119E" w:rsidRDefault="00AF119E" w:rsidP="00452CF6">
      <w:pPr>
        <w:pStyle w:val="ListParagraph"/>
        <w:spacing w:afterLines="50" w:after="120"/>
        <w:ind w:left="0"/>
        <w:contextualSpacing w:val="0"/>
        <w:jc w:val="both"/>
        <w:rPr>
          <w:rFonts w:eastAsiaTheme="minorEastAsia"/>
          <w:lang w:val="en-NZ" w:eastAsia="ja-JP"/>
        </w:rPr>
      </w:pPr>
      <w:r w:rsidRPr="00AF119E">
        <w:rPr>
          <w:rFonts w:eastAsiaTheme="minorEastAsia"/>
          <w:lang w:val="en-NZ" w:eastAsia="ja-JP"/>
        </w:rPr>
        <w:lastRenderedPageBreak/>
        <w:t>Japan supports ITU-R studies to identify candidate frequency bands for use by systems in the land-mobile and fixed services conducted by WP1A. Japan also supports identified frequency bands for land-mobile and fixed service applications, taking into account technical and operational characteristics specified by the most recent work conducted by WP 5A and WP 5C on a revision of Reports ITU-R M.2417 and F.2416, respectively.</w:t>
      </w:r>
    </w:p>
    <w:p w:rsidR="00AF119E" w:rsidRDefault="00AF119E" w:rsidP="00452CF6">
      <w:pPr>
        <w:pStyle w:val="ListParagraph"/>
        <w:spacing w:afterLines="50" w:after="120"/>
        <w:ind w:left="0"/>
        <w:contextualSpacing w:val="0"/>
        <w:jc w:val="both"/>
        <w:rPr>
          <w:b/>
          <w:lang w:val="en-NZ" w:eastAsia="ko-KR"/>
        </w:rPr>
      </w:pPr>
      <w:r w:rsidRPr="008022C6">
        <w:rPr>
          <w:rFonts w:eastAsiaTheme="minorEastAsia"/>
          <w:lang w:val="en-NZ" w:eastAsia="ja-JP"/>
        </w:rPr>
        <w:t xml:space="preserve">Japan is of the view that the passive services identified in </w:t>
      </w:r>
      <w:r w:rsidR="00A13D67">
        <w:rPr>
          <w:rFonts w:eastAsiaTheme="minorEastAsia"/>
          <w:lang w:val="en-NZ" w:eastAsia="ja-JP"/>
        </w:rPr>
        <w:t xml:space="preserve">RR </w:t>
      </w:r>
      <w:r w:rsidRPr="008022C6">
        <w:rPr>
          <w:rFonts w:eastAsiaTheme="minorEastAsia"/>
          <w:lang w:val="en-NZ" w:eastAsia="ja-JP"/>
        </w:rPr>
        <w:t>No.</w:t>
      </w:r>
      <w:r w:rsidRPr="00A13D67">
        <w:rPr>
          <w:rFonts w:eastAsiaTheme="minorEastAsia"/>
          <w:b/>
          <w:lang w:val="en-NZ" w:eastAsia="ja-JP"/>
        </w:rPr>
        <w:t>5.565</w:t>
      </w:r>
      <w:r w:rsidRPr="008022C6">
        <w:rPr>
          <w:rFonts w:eastAsiaTheme="minorEastAsia"/>
          <w:lang w:val="en-NZ" w:eastAsia="ja-JP"/>
        </w:rPr>
        <w:t xml:space="preserve"> should be protected from interference caused by LMS and FS applications planned to be operated.</w:t>
      </w:r>
    </w:p>
    <w:p w:rsidR="00806638" w:rsidRDefault="00806638" w:rsidP="00452CF6">
      <w:pPr>
        <w:pStyle w:val="ListParagraph"/>
        <w:numPr>
          <w:ilvl w:val="2"/>
          <w:numId w:val="13"/>
        </w:numPr>
        <w:spacing w:afterLines="50" w:after="120"/>
        <w:ind w:left="0" w:firstLine="0"/>
        <w:contextualSpacing w:val="0"/>
        <w:jc w:val="both"/>
        <w:rPr>
          <w:b/>
          <w:lang w:val="en-NZ" w:eastAsia="ko-KR"/>
        </w:rPr>
      </w:pPr>
      <w:r>
        <w:rPr>
          <w:b/>
          <w:lang w:val="en-NZ" w:eastAsia="ko-KR"/>
        </w:rPr>
        <w:t xml:space="preserve">Korea </w:t>
      </w:r>
      <w:r w:rsidRPr="006D6030">
        <w:rPr>
          <w:b/>
          <w:lang w:val="en-NZ" w:eastAsia="ko-KR"/>
        </w:rPr>
        <w:t>(</w:t>
      </w:r>
      <w:r w:rsidRPr="00442217">
        <w:rPr>
          <w:b/>
          <w:lang w:val="en-NZ"/>
        </w:rPr>
        <w:t>APG19-</w:t>
      </w:r>
      <w:r>
        <w:rPr>
          <w:b/>
          <w:lang w:val="en-NZ"/>
        </w:rPr>
        <w:t>4</w:t>
      </w:r>
      <w:r w:rsidRPr="00442217">
        <w:rPr>
          <w:b/>
          <w:lang w:val="en-NZ"/>
        </w:rPr>
        <w:t>/</w:t>
      </w:r>
      <w:r w:rsidRPr="006D6030">
        <w:rPr>
          <w:b/>
          <w:lang w:val="en-NZ" w:eastAsia="ko-KR"/>
        </w:rPr>
        <w:t>INP-</w:t>
      </w:r>
      <w:r>
        <w:rPr>
          <w:b/>
          <w:lang w:val="en-NZ" w:eastAsia="ko-KR"/>
        </w:rPr>
        <w:t>73)</w:t>
      </w:r>
    </w:p>
    <w:p w:rsidR="004F1FCD" w:rsidRDefault="00971D8F" w:rsidP="00452CF6">
      <w:pPr>
        <w:pStyle w:val="ListParagraph"/>
        <w:spacing w:afterLines="50" w:after="120"/>
        <w:ind w:left="0"/>
        <w:contextualSpacing w:val="0"/>
        <w:jc w:val="both"/>
        <w:rPr>
          <w:b/>
          <w:lang w:val="en-NZ" w:eastAsia="ko-KR"/>
        </w:rPr>
      </w:pPr>
      <w:r>
        <w:rPr>
          <w:lang w:val="en-NZ" w:eastAsia="ko-KR"/>
        </w:rPr>
        <w:t>Korea</w:t>
      </w:r>
      <w:r w:rsidR="004F1FCD" w:rsidRPr="00A86CF8">
        <w:rPr>
          <w:lang w:val="en-NZ" w:eastAsia="ko-KR"/>
        </w:rPr>
        <w:t xml:space="preserve"> support the ITU-R studies to consider identification of </w:t>
      </w:r>
      <w:r w:rsidR="004F1FCD" w:rsidRPr="00A86CF8">
        <w:rPr>
          <w:lang w:eastAsia="ko-KR"/>
        </w:rPr>
        <w:t xml:space="preserve">frequency bands for use by the land-mobile and fixed service applications operating in the frequency range 275-450 GHz, provided that the protection of passive services identified in </w:t>
      </w:r>
      <w:r w:rsidR="00A13D67">
        <w:rPr>
          <w:lang w:eastAsia="ko-KR"/>
        </w:rPr>
        <w:t xml:space="preserve">RR </w:t>
      </w:r>
      <w:r w:rsidR="004F1FCD" w:rsidRPr="00A86CF8">
        <w:rPr>
          <w:lang w:eastAsia="ko-KR"/>
        </w:rPr>
        <w:t>No.</w:t>
      </w:r>
      <w:r w:rsidR="004F1FCD" w:rsidRPr="00A86CF8">
        <w:rPr>
          <w:b/>
          <w:lang w:eastAsia="ko-KR"/>
        </w:rPr>
        <w:t>5.565</w:t>
      </w:r>
      <w:r w:rsidR="004F1FCD" w:rsidRPr="00A86CF8">
        <w:rPr>
          <w:lang w:eastAsia="ko-KR"/>
        </w:rPr>
        <w:t xml:space="preserve"> is ensured. If such identification is made, APT Members support</w:t>
      </w:r>
      <w:r w:rsidR="004F1FCD" w:rsidRPr="009C6FA0">
        <w:rPr>
          <w:lang w:eastAsia="ko-KR"/>
        </w:rPr>
        <w:t xml:space="preserve"> </w:t>
      </w:r>
      <w:r w:rsidR="004F1FCD">
        <w:rPr>
          <w:lang w:eastAsia="ko-KR"/>
        </w:rPr>
        <w:t>revising</w:t>
      </w:r>
      <w:r w:rsidR="004F1FCD" w:rsidRPr="00A86CF8" w:rsidDel="009C6FA0">
        <w:rPr>
          <w:lang w:eastAsia="ko-KR"/>
        </w:rPr>
        <w:t xml:space="preserve"> </w:t>
      </w:r>
      <w:r w:rsidR="004F1FCD" w:rsidRPr="00A86CF8">
        <w:rPr>
          <w:lang w:eastAsia="ko-KR"/>
        </w:rPr>
        <w:t>relevant part of the Radio Regulations.</w:t>
      </w:r>
    </w:p>
    <w:p w:rsidR="00806638" w:rsidRDefault="00806638" w:rsidP="00452CF6">
      <w:pPr>
        <w:pStyle w:val="ListParagraph"/>
        <w:numPr>
          <w:ilvl w:val="2"/>
          <w:numId w:val="13"/>
        </w:numPr>
        <w:spacing w:afterLines="50" w:after="120"/>
        <w:ind w:left="0" w:firstLine="0"/>
        <w:contextualSpacing w:val="0"/>
        <w:jc w:val="both"/>
        <w:rPr>
          <w:b/>
          <w:lang w:val="en-NZ" w:eastAsia="ko-KR"/>
        </w:rPr>
      </w:pPr>
      <w:r>
        <w:rPr>
          <w:b/>
          <w:lang w:val="en-NZ" w:eastAsia="ko-KR"/>
        </w:rPr>
        <w:t xml:space="preserve">China </w:t>
      </w:r>
      <w:r w:rsidRPr="006D6030">
        <w:rPr>
          <w:b/>
          <w:lang w:val="en-NZ" w:eastAsia="ko-KR"/>
        </w:rPr>
        <w:t>(</w:t>
      </w:r>
      <w:r w:rsidRPr="00442217">
        <w:rPr>
          <w:b/>
          <w:lang w:val="en-NZ"/>
        </w:rPr>
        <w:t>APG19-</w:t>
      </w:r>
      <w:r>
        <w:rPr>
          <w:b/>
          <w:lang w:val="en-NZ"/>
        </w:rPr>
        <w:t>4</w:t>
      </w:r>
      <w:r w:rsidRPr="00442217">
        <w:rPr>
          <w:b/>
          <w:lang w:val="en-NZ"/>
        </w:rPr>
        <w:t>/</w:t>
      </w:r>
      <w:r w:rsidRPr="006D6030">
        <w:rPr>
          <w:b/>
          <w:lang w:val="en-NZ" w:eastAsia="ko-KR"/>
        </w:rPr>
        <w:t>INP-</w:t>
      </w:r>
      <w:r>
        <w:rPr>
          <w:b/>
          <w:lang w:val="en-NZ" w:eastAsia="ko-KR"/>
        </w:rPr>
        <w:t>100)</w:t>
      </w:r>
    </w:p>
    <w:p w:rsidR="004F1FCD" w:rsidRDefault="004F1FCD" w:rsidP="00452CF6">
      <w:pPr>
        <w:spacing w:afterLines="50" w:after="120"/>
        <w:jc w:val="both"/>
        <w:rPr>
          <w:rFonts w:eastAsiaTheme="minorEastAsia"/>
          <w:lang w:eastAsia="zh-CN"/>
        </w:rPr>
      </w:pPr>
      <w:r>
        <w:rPr>
          <w:rFonts w:eastAsiaTheme="minorEastAsia"/>
          <w:lang w:eastAsia="zh-CN"/>
        </w:rPr>
        <w:t>China is of the view that:</w:t>
      </w:r>
    </w:p>
    <w:p w:rsidR="004F1FCD" w:rsidRPr="00971D8F" w:rsidRDefault="004F1FCD" w:rsidP="00452CF6">
      <w:pPr>
        <w:pStyle w:val="ListParagraph"/>
        <w:numPr>
          <w:ilvl w:val="0"/>
          <w:numId w:val="20"/>
        </w:numPr>
        <w:spacing w:afterLines="50" w:after="120"/>
        <w:contextualSpacing w:val="0"/>
        <w:jc w:val="both"/>
        <w:rPr>
          <w:rFonts w:eastAsiaTheme="minorEastAsia"/>
          <w:lang w:eastAsia="zh-CN"/>
        </w:rPr>
      </w:pPr>
      <w:r w:rsidRPr="00971D8F">
        <w:rPr>
          <w:rFonts w:eastAsiaTheme="minorEastAsia"/>
          <w:lang w:eastAsia="zh-CN"/>
        </w:rPr>
        <w:t xml:space="preserve">The bands 296-306 GHz, 313-320 GHz and 330-356 GHz currently identified for EESS (passive) in RR No. </w:t>
      </w:r>
      <w:r w:rsidRPr="00A13D67">
        <w:rPr>
          <w:rFonts w:eastAsiaTheme="minorEastAsia"/>
          <w:b/>
          <w:lang w:eastAsia="zh-CN"/>
        </w:rPr>
        <w:t>5.565</w:t>
      </w:r>
      <w:r w:rsidRPr="00971D8F">
        <w:rPr>
          <w:rFonts w:eastAsiaTheme="minorEastAsia"/>
          <w:bCs/>
          <w:lang w:eastAsia="zh-CN"/>
        </w:rPr>
        <w:t xml:space="preserve"> cannot </w:t>
      </w:r>
      <w:r w:rsidRPr="00971D8F">
        <w:rPr>
          <w:rFonts w:eastAsiaTheme="minorEastAsia"/>
          <w:lang w:eastAsia="zh-CN"/>
        </w:rPr>
        <w:t>be made available to the FS/LMS. China is also not support the identification of 361-365 GHz to the FS/LMS, at this stage.</w:t>
      </w:r>
    </w:p>
    <w:p w:rsidR="004F1FCD" w:rsidRPr="00971D8F" w:rsidRDefault="004F1FCD" w:rsidP="00452CF6">
      <w:pPr>
        <w:pStyle w:val="ListParagraph"/>
        <w:numPr>
          <w:ilvl w:val="0"/>
          <w:numId w:val="20"/>
        </w:numPr>
        <w:spacing w:afterLines="50" w:after="120"/>
        <w:contextualSpacing w:val="0"/>
        <w:jc w:val="both"/>
        <w:rPr>
          <w:bCs/>
        </w:rPr>
      </w:pPr>
      <w:r w:rsidRPr="00971D8F">
        <w:rPr>
          <w:rFonts w:eastAsiaTheme="minorEastAsia"/>
          <w:bCs/>
          <w:lang w:eastAsia="zh-CN"/>
        </w:rPr>
        <w:t xml:space="preserve">It is </w:t>
      </w:r>
      <w:r w:rsidRPr="00971D8F">
        <w:t>not necessary</w:t>
      </w:r>
      <w:r w:rsidRPr="00971D8F">
        <w:rPr>
          <w:bCs/>
        </w:rPr>
        <w:t xml:space="preserve"> to propose the whole </w:t>
      </w:r>
      <w:r w:rsidRPr="00971D8F">
        <w:rPr>
          <w:rFonts w:eastAsiaTheme="minorEastAsia"/>
          <w:bCs/>
          <w:lang w:eastAsia="zh-CN"/>
        </w:rPr>
        <w:t>94</w:t>
      </w:r>
      <w:r w:rsidRPr="00971D8F">
        <w:rPr>
          <w:bCs/>
        </w:rPr>
        <w:t xml:space="preserve"> GHz bandwidth</w:t>
      </w:r>
      <w:r w:rsidRPr="00971D8F">
        <w:rPr>
          <w:rFonts w:eastAsia="SimSun"/>
          <w:bCs/>
          <w:lang w:eastAsia="zh-CN"/>
        </w:rPr>
        <w:t xml:space="preserve"> of </w:t>
      </w:r>
      <w:r w:rsidRPr="00971D8F">
        <w:t>356-450 GHz</w:t>
      </w:r>
      <w:r w:rsidRPr="00971D8F">
        <w:rPr>
          <w:bCs/>
        </w:rPr>
        <w:t xml:space="preserve"> </w:t>
      </w:r>
      <w:r w:rsidRPr="00971D8F">
        <w:rPr>
          <w:rFonts w:eastAsiaTheme="minorEastAsia"/>
          <w:bCs/>
          <w:lang w:eastAsia="zh-CN"/>
        </w:rPr>
        <w:t xml:space="preserve">for identification for the FS/LMS applications. For example, only identify 400-420 GHz for the FS/LMS applications. </w:t>
      </w:r>
    </w:p>
    <w:p w:rsidR="004F1FCD" w:rsidRPr="00971D8F" w:rsidRDefault="004F1FCD" w:rsidP="00452CF6">
      <w:pPr>
        <w:pStyle w:val="ListParagraph"/>
        <w:numPr>
          <w:ilvl w:val="0"/>
          <w:numId w:val="20"/>
        </w:numPr>
        <w:spacing w:afterLines="50" w:after="120"/>
        <w:contextualSpacing w:val="0"/>
        <w:jc w:val="both"/>
        <w:rPr>
          <w:rFonts w:eastAsiaTheme="minorEastAsia"/>
          <w:lang w:eastAsia="zh-CN"/>
        </w:rPr>
      </w:pPr>
      <w:r w:rsidRPr="00971D8F">
        <w:rPr>
          <w:rFonts w:eastAsiaTheme="minorEastAsia"/>
          <w:lang w:eastAsia="zh-CN"/>
        </w:rPr>
        <w:t>I</w:t>
      </w:r>
      <w:r w:rsidRPr="00971D8F">
        <w:t xml:space="preserve">n the bands identified for RAS in RR </w:t>
      </w:r>
      <w:r w:rsidRPr="00971D8F">
        <w:rPr>
          <w:bCs/>
        </w:rPr>
        <w:t>N</w:t>
      </w:r>
      <w:r w:rsidRPr="00971D8F">
        <w:t xml:space="preserve">o. </w:t>
      </w:r>
      <w:r w:rsidRPr="00A13D67">
        <w:rPr>
          <w:rStyle w:val="Artref"/>
          <w:b/>
          <w:bCs/>
        </w:rPr>
        <w:t>5.565</w:t>
      </w:r>
      <w:r w:rsidRPr="00971D8F">
        <w:t xml:space="preserve"> (</w:t>
      </w:r>
      <w:r w:rsidRPr="00971D8F">
        <w:rPr>
          <w:iCs/>
        </w:rPr>
        <w:t>275-323 GHz, 327-371 GHz, 388-424 GHz and 426</w:t>
      </w:r>
      <w:r w:rsidRPr="00971D8F">
        <w:rPr>
          <w:iCs/>
        </w:rPr>
        <w:noBreakHyphen/>
        <w:t>442 GHz</w:t>
      </w:r>
      <w:r w:rsidRPr="00971D8F">
        <w:t>), separation distances and</w:t>
      </w:r>
      <w:r w:rsidRPr="00971D8F">
        <w:rPr>
          <w:rFonts w:eastAsia="SimSun"/>
          <w:lang w:eastAsia="zh-CN"/>
        </w:rPr>
        <w:t>/</w:t>
      </w:r>
      <w:r w:rsidRPr="00971D8F">
        <w:t>or avoidance angles between RAS stations and FS stations should be considered depending on the deployment environment of FS stations.</w:t>
      </w:r>
    </w:p>
    <w:p w:rsidR="00806638" w:rsidRDefault="00806638" w:rsidP="00971D8F">
      <w:pPr>
        <w:pStyle w:val="ListParagraph"/>
        <w:numPr>
          <w:ilvl w:val="2"/>
          <w:numId w:val="13"/>
        </w:numPr>
        <w:spacing w:afterLines="50" w:after="120"/>
        <w:ind w:left="0" w:firstLine="0"/>
        <w:contextualSpacing w:val="0"/>
        <w:jc w:val="both"/>
        <w:rPr>
          <w:b/>
          <w:lang w:val="en-NZ" w:eastAsia="ko-KR"/>
        </w:rPr>
      </w:pPr>
      <w:r>
        <w:rPr>
          <w:b/>
          <w:lang w:val="en-NZ" w:eastAsia="ko-KR"/>
        </w:rPr>
        <w:t xml:space="preserve">India </w:t>
      </w:r>
      <w:r w:rsidRPr="006D6030">
        <w:rPr>
          <w:b/>
          <w:lang w:val="en-NZ" w:eastAsia="ko-KR"/>
        </w:rPr>
        <w:t>(</w:t>
      </w:r>
      <w:r w:rsidRPr="00442217">
        <w:rPr>
          <w:b/>
          <w:lang w:val="en-NZ"/>
        </w:rPr>
        <w:t>APG19-</w:t>
      </w:r>
      <w:r>
        <w:rPr>
          <w:b/>
          <w:lang w:val="en-NZ"/>
        </w:rPr>
        <w:t>4</w:t>
      </w:r>
      <w:r w:rsidRPr="00442217">
        <w:rPr>
          <w:b/>
          <w:lang w:val="en-NZ"/>
        </w:rPr>
        <w:t>/</w:t>
      </w:r>
      <w:r w:rsidRPr="006D6030">
        <w:rPr>
          <w:b/>
          <w:lang w:val="en-NZ" w:eastAsia="ko-KR"/>
        </w:rPr>
        <w:t>INP-</w:t>
      </w:r>
      <w:r>
        <w:rPr>
          <w:b/>
          <w:lang w:val="en-NZ" w:eastAsia="ko-KR"/>
        </w:rPr>
        <w:t>117)</w:t>
      </w:r>
    </w:p>
    <w:p w:rsidR="00FF7A01" w:rsidRPr="00FF7A01" w:rsidRDefault="00FF7A01" w:rsidP="00971D8F">
      <w:pPr>
        <w:pStyle w:val="ListParagraph"/>
        <w:tabs>
          <w:tab w:val="left" w:pos="1134"/>
          <w:tab w:val="left" w:pos="1871"/>
          <w:tab w:val="left" w:pos="2268"/>
        </w:tabs>
        <w:overflowPunct w:val="0"/>
        <w:autoSpaceDE w:val="0"/>
        <w:autoSpaceDN w:val="0"/>
        <w:adjustRightInd w:val="0"/>
        <w:spacing w:afterLines="50" w:after="120"/>
        <w:ind w:left="0"/>
        <w:contextualSpacing w:val="0"/>
        <w:jc w:val="both"/>
        <w:textAlignment w:val="baseline"/>
        <w:rPr>
          <w:rFonts w:eastAsia="Times New Roman"/>
          <w:szCs w:val="20"/>
          <w:lang w:val="en-GB"/>
        </w:rPr>
      </w:pPr>
      <w:r w:rsidRPr="00FF7A01">
        <w:rPr>
          <w:rFonts w:eastAsia="Times New Roman"/>
          <w:color w:val="000000"/>
          <w:szCs w:val="20"/>
          <w:lang w:val="en-GB"/>
        </w:rPr>
        <w:t>In view of India the M</w:t>
      </w:r>
      <w:r w:rsidRPr="00FF7A01">
        <w:rPr>
          <w:rFonts w:eastAsia="Batang"/>
          <w:szCs w:val="20"/>
          <w:lang w:val="en-GB"/>
        </w:rPr>
        <w:t>ethod B satisfies</w:t>
      </w:r>
      <w:r w:rsidRPr="00FF7A01">
        <w:rPr>
          <w:rFonts w:eastAsia="Times New Roman"/>
          <w:szCs w:val="20"/>
          <w:lang w:val="en-GB"/>
        </w:rPr>
        <w:t xml:space="preserve"> this agenda item and may be applied to the candidate frequency bands. </w:t>
      </w:r>
    </w:p>
    <w:p w:rsidR="00FF7A01" w:rsidRPr="00FF7A01" w:rsidRDefault="00FF7A01" w:rsidP="00971D8F">
      <w:pPr>
        <w:pStyle w:val="ListParagraph"/>
        <w:keepNext/>
        <w:keepLines/>
        <w:tabs>
          <w:tab w:val="left" w:pos="540"/>
          <w:tab w:val="left" w:pos="1871"/>
          <w:tab w:val="left" w:pos="2268"/>
        </w:tabs>
        <w:overflowPunct w:val="0"/>
        <w:autoSpaceDE w:val="0"/>
        <w:autoSpaceDN w:val="0"/>
        <w:adjustRightInd w:val="0"/>
        <w:spacing w:afterLines="50" w:after="120"/>
        <w:ind w:left="0"/>
        <w:contextualSpacing w:val="0"/>
        <w:jc w:val="both"/>
        <w:textAlignment w:val="baseline"/>
        <w:outlineLvl w:val="1"/>
        <w:rPr>
          <w:rFonts w:eastAsia="Times New Roman"/>
          <w:szCs w:val="20"/>
          <w:lang w:val="en-GB"/>
        </w:rPr>
      </w:pPr>
      <w:r w:rsidRPr="00FF7A01">
        <w:rPr>
          <w:rFonts w:eastAsia="Times New Roman"/>
          <w:b/>
          <w:szCs w:val="20"/>
          <w:lang w:val="en-GB"/>
        </w:rPr>
        <w:t xml:space="preserve">Method B - </w:t>
      </w:r>
      <w:r w:rsidRPr="00FF7A01">
        <w:rPr>
          <w:rFonts w:eastAsia="Times New Roman"/>
          <w:szCs w:val="20"/>
          <w:lang w:val="en-GB"/>
        </w:rPr>
        <w:t xml:space="preserve">Modifying the existing footnote RR No. </w:t>
      </w:r>
      <w:r w:rsidRPr="00FF7A01">
        <w:rPr>
          <w:rFonts w:eastAsia="Times New Roman"/>
          <w:b/>
          <w:szCs w:val="20"/>
          <w:lang w:val="en-GB"/>
        </w:rPr>
        <w:t>5.565</w:t>
      </w:r>
      <w:r w:rsidRPr="00FF7A01">
        <w:rPr>
          <w:rFonts w:eastAsia="Times New Roman"/>
          <w:szCs w:val="20"/>
          <w:lang w:val="en-GB"/>
        </w:rPr>
        <w:t xml:space="preserve"> is proposed for FS/LMS applications in portions of the 275-450 GHz frequency range.</w:t>
      </w:r>
    </w:p>
    <w:p w:rsidR="00FF7A01" w:rsidRDefault="00FF7A01" w:rsidP="00971D8F">
      <w:pPr>
        <w:pStyle w:val="ListParagraph"/>
        <w:spacing w:afterLines="50" w:after="120"/>
        <w:ind w:left="0"/>
        <w:contextualSpacing w:val="0"/>
        <w:jc w:val="both"/>
        <w:rPr>
          <w:b/>
          <w:lang w:val="en-NZ" w:eastAsia="ko-KR"/>
        </w:rPr>
      </w:pPr>
      <w:r w:rsidRPr="00AF4702">
        <w:rPr>
          <w:rFonts w:eastAsia="Times New Roman"/>
          <w:b/>
          <w:szCs w:val="20"/>
          <w:lang w:val="en-GB"/>
        </w:rPr>
        <w:t>Reasons:</w:t>
      </w:r>
      <w:bookmarkStart w:id="1" w:name="_Hlk516284097"/>
      <w:r>
        <w:rPr>
          <w:rFonts w:eastAsia="Times New Roman"/>
          <w:b/>
          <w:szCs w:val="20"/>
          <w:lang w:val="en-GB"/>
        </w:rPr>
        <w:t xml:space="preserve"> </w:t>
      </w:r>
      <w:r w:rsidRPr="00AF4702">
        <w:rPr>
          <w:rFonts w:eastAsia="Times New Roman"/>
          <w:szCs w:val="20"/>
          <w:lang w:val="en-GB"/>
        </w:rPr>
        <w:t xml:space="preserve">Studies that evaluated the entire 275-450 GHz frequency range show sharing is feasible between FS/LMS applications and the EESS (passive)/RAS in the particular bands. For frequencies in the range 275-450 GHz not [identified/designated] for use under Method B, current studies have shown that sharing between FS/LMS applications and EESS (passive)/RAS applications is not feasible. Method B identifies frequency bands for use by </w:t>
      </w:r>
      <w:r w:rsidRPr="00AF4702">
        <w:rPr>
          <w:rFonts w:eastAsia="SimSun"/>
          <w:szCs w:val="20"/>
          <w:lang w:val="en-GB" w:eastAsia="zh-CN"/>
        </w:rPr>
        <w:t>LMS</w:t>
      </w:r>
      <w:r w:rsidRPr="00AF4702">
        <w:rPr>
          <w:rFonts w:eastAsia="Times New Roman"/>
          <w:szCs w:val="20"/>
          <w:lang w:val="en-GB"/>
        </w:rPr>
        <w:t xml:space="preserve"> and </w:t>
      </w:r>
      <w:r w:rsidRPr="00AF4702">
        <w:rPr>
          <w:rFonts w:eastAsia="SimSun"/>
          <w:szCs w:val="20"/>
          <w:lang w:val="en-GB" w:eastAsia="zh-CN"/>
        </w:rPr>
        <w:t>FS</w:t>
      </w:r>
      <w:r w:rsidRPr="00AF4702">
        <w:rPr>
          <w:rFonts w:eastAsia="Times New Roman"/>
          <w:szCs w:val="20"/>
          <w:lang w:val="en-GB"/>
        </w:rPr>
        <w:t xml:space="preserve"> applications that meet the spectrum needs summarized in </w:t>
      </w:r>
      <w:r>
        <w:rPr>
          <w:rFonts w:eastAsia="Times New Roman"/>
          <w:szCs w:val="20"/>
          <w:lang w:val="en-GB"/>
        </w:rPr>
        <w:t xml:space="preserve">various </w:t>
      </w:r>
      <w:r w:rsidRPr="00AF4702">
        <w:rPr>
          <w:rFonts w:eastAsia="Times New Roman"/>
          <w:szCs w:val="20"/>
          <w:lang w:val="en-GB"/>
        </w:rPr>
        <w:t xml:space="preserve">ITU-R studies as </w:t>
      </w:r>
      <w:r>
        <w:rPr>
          <w:rFonts w:eastAsia="Times New Roman"/>
          <w:szCs w:val="20"/>
          <w:lang w:val="en-GB"/>
        </w:rPr>
        <w:t xml:space="preserve">mentioned in the </w:t>
      </w:r>
      <w:r w:rsidRPr="00AF4702">
        <w:rPr>
          <w:rFonts w:eastAsia="Times New Roman"/>
          <w:szCs w:val="20"/>
          <w:lang w:val="en-GB"/>
        </w:rPr>
        <w:t xml:space="preserve">section 1/1.15/3 </w:t>
      </w:r>
      <w:r>
        <w:rPr>
          <w:rFonts w:eastAsia="Times New Roman"/>
          <w:szCs w:val="20"/>
          <w:lang w:val="en-GB"/>
        </w:rPr>
        <w:t>of draft CPM text</w:t>
      </w:r>
      <w:r w:rsidRPr="00AF4702">
        <w:rPr>
          <w:rFonts w:eastAsia="Times New Roman"/>
          <w:szCs w:val="20"/>
          <w:lang w:val="en-GB"/>
        </w:rPr>
        <w:t>.</w:t>
      </w:r>
      <w:bookmarkEnd w:id="1"/>
    </w:p>
    <w:p w:rsidR="00DE273D" w:rsidRDefault="00806638" w:rsidP="00953887">
      <w:pPr>
        <w:pStyle w:val="ListParagraph"/>
        <w:numPr>
          <w:ilvl w:val="1"/>
          <w:numId w:val="13"/>
        </w:numPr>
        <w:spacing w:afterLines="50" w:after="120"/>
        <w:ind w:left="0" w:firstLine="0"/>
        <w:contextualSpacing w:val="0"/>
        <w:rPr>
          <w:b/>
          <w:lang w:val="en-NZ" w:eastAsia="ko-KR"/>
        </w:rPr>
      </w:pPr>
      <w:r>
        <w:rPr>
          <w:b/>
          <w:lang w:val="en-NZ" w:eastAsia="ko-KR"/>
        </w:rPr>
        <w:t>Summary of issues</w:t>
      </w:r>
      <w:r w:rsidRPr="00C951EA">
        <w:rPr>
          <w:b/>
          <w:lang w:val="en-NZ" w:eastAsia="ko-KR"/>
        </w:rPr>
        <w:t xml:space="preserve"> raised during the meeting</w:t>
      </w:r>
    </w:p>
    <w:p w:rsidR="006559DF" w:rsidRDefault="006559DF" w:rsidP="00953887">
      <w:pPr>
        <w:pStyle w:val="ListParagraph"/>
        <w:spacing w:afterLines="50" w:after="120"/>
        <w:ind w:left="0"/>
        <w:contextualSpacing w:val="0"/>
        <w:rPr>
          <w:lang w:val="en-NZ" w:eastAsia="ko-KR"/>
        </w:rPr>
      </w:pPr>
      <w:r>
        <w:rPr>
          <w:lang w:val="en-NZ" w:eastAsia="ko-KR"/>
        </w:rPr>
        <w:t>Summary of Proposed Methods prior to APG</w:t>
      </w:r>
      <w:r w:rsidR="00A13D67">
        <w:rPr>
          <w:lang w:val="en-NZ" w:eastAsia="ko-KR"/>
        </w:rPr>
        <w:t xml:space="preserve"> </w:t>
      </w:r>
      <w:r>
        <w:rPr>
          <w:lang w:val="en-NZ" w:eastAsia="ko-KR"/>
        </w:rPr>
        <w:t>19-4</w:t>
      </w:r>
      <w:r w:rsidR="00D068D5">
        <w:rPr>
          <w:lang w:val="en-NZ" w:eastAsia="ko-KR"/>
        </w:rPr>
        <w:t xml:space="preserve"> as below:</w:t>
      </w:r>
    </w:p>
    <w:p w:rsidR="005838D0" w:rsidRPr="00A13D67" w:rsidRDefault="005838D0" w:rsidP="00953887">
      <w:pPr>
        <w:pStyle w:val="ListParagraph"/>
        <w:spacing w:afterLines="50" w:after="120"/>
        <w:ind w:left="0"/>
        <w:contextualSpacing w:val="0"/>
        <w:jc w:val="center"/>
        <w:rPr>
          <w:b/>
          <w:lang w:val="en-NZ" w:eastAsia="ko-KR"/>
        </w:rPr>
      </w:pPr>
      <w:r w:rsidRPr="00A13D67">
        <w:rPr>
          <w:b/>
          <w:lang w:val="en-NZ" w:eastAsia="ko-KR"/>
        </w:rPr>
        <w:t xml:space="preserve">Table 1 - Summary of Proposed Methods </w:t>
      </w:r>
      <w:r w:rsidR="008068E7" w:rsidRPr="00A13D67">
        <w:rPr>
          <w:b/>
          <w:lang w:val="en-NZ" w:eastAsia="ko-KR"/>
        </w:rPr>
        <w:t>in Current Version of Draft CPM Report</w:t>
      </w:r>
    </w:p>
    <w:tbl>
      <w:tblPr>
        <w:tblStyle w:val="TableGrid"/>
        <w:tblW w:w="0" w:type="auto"/>
        <w:tblInd w:w="270" w:type="dxa"/>
        <w:tblLook w:val="04A0" w:firstRow="1" w:lastRow="0" w:firstColumn="1" w:lastColumn="0" w:noHBand="0" w:noVBand="1"/>
      </w:tblPr>
      <w:tblGrid>
        <w:gridCol w:w="1160"/>
        <w:gridCol w:w="1953"/>
        <w:gridCol w:w="1560"/>
        <w:gridCol w:w="1111"/>
        <w:gridCol w:w="1112"/>
        <w:gridCol w:w="1111"/>
        <w:gridCol w:w="1112"/>
      </w:tblGrid>
      <w:tr w:rsidR="0027283D" w:rsidTr="003C7AEF">
        <w:tc>
          <w:tcPr>
            <w:tcW w:w="1180" w:type="dxa"/>
            <w:vMerge w:val="restart"/>
            <w:vAlign w:val="center"/>
          </w:tcPr>
          <w:p w:rsidR="0027283D" w:rsidRPr="00661B15" w:rsidRDefault="0027283D" w:rsidP="003C7AEF">
            <w:pPr>
              <w:pStyle w:val="ListParagraph"/>
              <w:ind w:left="0"/>
              <w:jc w:val="center"/>
              <w:rPr>
                <w:b/>
              </w:rPr>
            </w:pPr>
            <w:r w:rsidRPr="00661B15">
              <w:rPr>
                <w:b/>
              </w:rPr>
              <w:t>Methods</w:t>
            </w:r>
          </w:p>
        </w:tc>
        <w:tc>
          <w:tcPr>
            <w:tcW w:w="2348" w:type="dxa"/>
            <w:vMerge w:val="restart"/>
            <w:vAlign w:val="center"/>
          </w:tcPr>
          <w:p w:rsidR="0027283D" w:rsidRPr="00661B15" w:rsidRDefault="0027283D" w:rsidP="003C7AEF">
            <w:pPr>
              <w:pStyle w:val="ListParagraph"/>
              <w:ind w:left="0"/>
              <w:jc w:val="center"/>
              <w:rPr>
                <w:b/>
              </w:rPr>
            </w:pPr>
            <w:r w:rsidRPr="00661B15">
              <w:rPr>
                <w:b/>
              </w:rPr>
              <w:t>Action</w:t>
            </w:r>
          </w:p>
        </w:tc>
        <w:tc>
          <w:tcPr>
            <w:tcW w:w="1620" w:type="dxa"/>
            <w:vMerge w:val="restart"/>
            <w:vAlign w:val="center"/>
          </w:tcPr>
          <w:p w:rsidR="0027283D" w:rsidRDefault="0027283D" w:rsidP="003C7AEF">
            <w:pPr>
              <w:pStyle w:val="ListParagraph"/>
              <w:ind w:left="0"/>
              <w:jc w:val="center"/>
              <w:rPr>
                <w:rFonts w:eastAsia="MS Mincho"/>
                <w:b/>
                <w:lang w:eastAsia="ja-JP"/>
              </w:rPr>
            </w:pPr>
            <w:r>
              <w:rPr>
                <w:rFonts w:eastAsia="MS Mincho" w:hint="eastAsia"/>
                <w:b/>
                <w:lang w:eastAsia="ja-JP"/>
              </w:rPr>
              <w:t>Application Service</w:t>
            </w:r>
            <w:r w:rsidR="00424D00">
              <w:rPr>
                <w:rFonts w:eastAsia="MS Mincho"/>
                <w:b/>
                <w:lang w:eastAsia="ja-JP"/>
              </w:rPr>
              <w:t>s</w:t>
            </w:r>
          </w:p>
        </w:tc>
        <w:tc>
          <w:tcPr>
            <w:tcW w:w="4878" w:type="dxa"/>
            <w:gridSpan w:val="4"/>
          </w:tcPr>
          <w:p w:rsidR="0027283D" w:rsidRDefault="0027283D" w:rsidP="003C7AEF">
            <w:pPr>
              <w:pStyle w:val="ListParagraph"/>
              <w:ind w:left="0"/>
              <w:contextualSpacing w:val="0"/>
              <w:jc w:val="center"/>
              <w:rPr>
                <w:rFonts w:eastAsia="MS Mincho"/>
                <w:b/>
                <w:lang w:eastAsia="ja-JP"/>
              </w:rPr>
            </w:pPr>
            <w:r>
              <w:rPr>
                <w:rFonts w:eastAsia="MS Mincho" w:hint="eastAsia"/>
                <w:b/>
                <w:lang w:eastAsia="ja-JP"/>
              </w:rPr>
              <w:t>Proposed Bands for Service</w:t>
            </w:r>
            <w:r w:rsidR="00424D00">
              <w:rPr>
                <w:rFonts w:eastAsia="MS Mincho"/>
                <w:b/>
                <w:lang w:eastAsia="ja-JP"/>
              </w:rPr>
              <w:t>s</w:t>
            </w:r>
          </w:p>
        </w:tc>
      </w:tr>
      <w:tr w:rsidR="0027283D" w:rsidTr="003C7AEF">
        <w:tc>
          <w:tcPr>
            <w:tcW w:w="1180" w:type="dxa"/>
            <w:vMerge/>
          </w:tcPr>
          <w:p w:rsidR="0027283D" w:rsidRPr="00661B15" w:rsidRDefault="0027283D" w:rsidP="003C7AEF">
            <w:pPr>
              <w:pStyle w:val="ListParagraph"/>
              <w:ind w:left="0"/>
              <w:contextualSpacing w:val="0"/>
              <w:jc w:val="center"/>
              <w:rPr>
                <w:b/>
              </w:rPr>
            </w:pPr>
          </w:p>
        </w:tc>
        <w:tc>
          <w:tcPr>
            <w:tcW w:w="2348" w:type="dxa"/>
            <w:vMerge/>
          </w:tcPr>
          <w:p w:rsidR="0027283D" w:rsidRPr="00661B15" w:rsidRDefault="0027283D" w:rsidP="003C7AEF">
            <w:pPr>
              <w:pStyle w:val="ListParagraph"/>
              <w:ind w:left="0"/>
              <w:contextualSpacing w:val="0"/>
              <w:jc w:val="center"/>
              <w:rPr>
                <w:b/>
              </w:rPr>
            </w:pPr>
          </w:p>
        </w:tc>
        <w:tc>
          <w:tcPr>
            <w:tcW w:w="1620" w:type="dxa"/>
            <w:vMerge/>
          </w:tcPr>
          <w:p w:rsidR="0027283D" w:rsidRPr="007F0D19" w:rsidRDefault="0027283D" w:rsidP="003C7AEF">
            <w:pPr>
              <w:pStyle w:val="ListParagraph"/>
              <w:ind w:left="0"/>
              <w:contextualSpacing w:val="0"/>
              <w:jc w:val="center"/>
              <w:rPr>
                <w:rFonts w:eastAsia="MS Mincho"/>
                <w:b/>
                <w:lang w:eastAsia="ja-JP"/>
              </w:rPr>
            </w:pPr>
          </w:p>
        </w:tc>
        <w:tc>
          <w:tcPr>
            <w:tcW w:w="1219" w:type="dxa"/>
          </w:tcPr>
          <w:p w:rsidR="0027283D" w:rsidRPr="007F0D19" w:rsidRDefault="0027283D" w:rsidP="003C7AEF">
            <w:pPr>
              <w:pStyle w:val="ListParagraph"/>
              <w:ind w:left="0"/>
              <w:contextualSpacing w:val="0"/>
              <w:jc w:val="center"/>
              <w:rPr>
                <w:rFonts w:eastAsia="MS Mincho"/>
                <w:b/>
                <w:lang w:eastAsia="ja-JP"/>
              </w:rPr>
            </w:pPr>
            <w:r>
              <w:rPr>
                <w:rFonts w:eastAsia="MS Mincho" w:hint="eastAsia"/>
                <w:b/>
                <w:lang w:eastAsia="ja-JP"/>
              </w:rPr>
              <w:t>Band 1 (GHz)</w:t>
            </w:r>
          </w:p>
        </w:tc>
        <w:tc>
          <w:tcPr>
            <w:tcW w:w="1220" w:type="dxa"/>
          </w:tcPr>
          <w:p w:rsidR="0027283D" w:rsidRPr="00661B15" w:rsidRDefault="0027283D" w:rsidP="003C7AEF">
            <w:pPr>
              <w:pStyle w:val="ListParagraph"/>
              <w:ind w:left="0"/>
              <w:contextualSpacing w:val="0"/>
              <w:jc w:val="center"/>
              <w:rPr>
                <w:b/>
              </w:rPr>
            </w:pPr>
            <w:r>
              <w:rPr>
                <w:rFonts w:eastAsia="MS Mincho" w:hint="eastAsia"/>
                <w:b/>
                <w:lang w:eastAsia="ja-JP"/>
              </w:rPr>
              <w:t>Band 2 (GHz)</w:t>
            </w:r>
          </w:p>
        </w:tc>
        <w:tc>
          <w:tcPr>
            <w:tcW w:w="1219" w:type="dxa"/>
          </w:tcPr>
          <w:p w:rsidR="0027283D" w:rsidRPr="00661B15" w:rsidRDefault="0027283D" w:rsidP="003C7AEF">
            <w:pPr>
              <w:pStyle w:val="ListParagraph"/>
              <w:ind w:left="0"/>
              <w:contextualSpacing w:val="0"/>
              <w:jc w:val="center"/>
              <w:rPr>
                <w:b/>
              </w:rPr>
            </w:pPr>
            <w:r>
              <w:rPr>
                <w:rFonts w:eastAsia="MS Mincho" w:hint="eastAsia"/>
                <w:b/>
                <w:lang w:eastAsia="ja-JP"/>
              </w:rPr>
              <w:t>Band 3 (GHz)</w:t>
            </w:r>
          </w:p>
        </w:tc>
        <w:tc>
          <w:tcPr>
            <w:tcW w:w="1220" w:type="dxa"/>
          </w:tcPr>
          <w:p w:rsidR="0027283D" w:rsidRPr="00661B15" w:rsidRDefault="0027283D" w:rsidP="003C7AEF">
            <w:pPr>
              <w:pStyle w:val="ListParagraph"/>
              <w:ind w:left="0"/>
              <w:contextualSpacing w:val="0"/>
              <w:jc w:val="center"/>
              <w:rPr>
                <w:b/>
              </w:rPr>
            </w:pPr>
            <w:r>
              <w:rPr>
                <w:rFonts w:eastAsia="MS Mincho" w:hint="eastAsia"/>
                <w:b/>
                <w:lang w:eastAsia="ja-JP"/>
              </w:rPr>
              <w:t>Band 4 (GHz)</w:t>
            </w:r>
          </w:p>
        </w:tc>
      </w:tr>
      <w:tr w:rsidR="0027283D" w:rsidTr="003C7AEF">
        <w:tc>
          <w:tcPr>
            <w:tcW w:w="1180" w:type="dxa"/>
          </w:tcPr>
          <w:p w:rsidR="0027283D" w:rsidRDefault="0027283D" w:rsidP="003C7AEF">
            <w:pPr>
              <w:pStyle w:val="ListParagraph"/>
              <w:ind w:left="0"/>
              <w:contextualSpacing w:val="0"/>
            </w:pPr>
            <w:r>
              <w:t>A</w:t>
            </w:r>
          </w:p>
        </w:tc>
        <w:tc>
          <w:tcPr>
            <w:tcW w:w="2348" w:type="dxa"/>
          </w:tcPr>
          <w:p w:rsidR="0027283D" w:rsidRPr="00A83EA8" w:rsidRDefault="0027283D" w:rsidP="003C7AEF">
            <w:pPr>
              <w:pStyle w:val="ListParagraph"/>
              <w:ind w:left="0"/>
              <w:contextualSpacing w:val="0"/>
              <w:rPr>
                <w:rFonts w:eastAsia="MS Mincho"/>
                <w:lang w:eastAsia="ja-JP"/>
              </w:rPr>
            </w:pPr>
            <w:r>
              <w:t>No change</w:t>
            </w:r>
            <w:r w:rsidR="008068E7">
              <w:t xml:space="preserve"> to RR</w:t>
            </w:r>
          </w:p>
        </w:tc>
        <w:tc>
          <w:tcPr>
            <w:tcW w:w="1620" w:type="dxa"/>
          </w:tcPr>
          <w:p w:rsidR="0027283D" w:rsidRPr="004E4CA7" w:rsidRDefault="0027283D" w:rsidP="003C7AEF">
            <w:pPr>
              <w:pStyle w:val="ListParagraph"/>
              <w:ind w:left="0"/>
              <w:contextualSpacing w:val="0"/>
              <w:jc w:val="center"/>
              <w:rPr>
                <w:rFonts w:eastAsia="MS Mincho"/>
                <w:lang w:eastAsia="ja-JP"/>
              </w:rPr>
            </w:pPr>
            <w:r>
              <w:rPr>
                <w:rFonts w:eastAsia="MS Mincho" w:hint="eastAsia"/>
                <w:lang w:eastAsia="ja-JP"/>
              </w:rPr>
              <w:t>-</w:t>
            </w:r>
          </w:p>
        </w:tc>
        <w:tc>
          <w:tcPr>
            <w:tcW w:w="1219" w:type="dxa"/>
          </w:tcPr>
          <w:p w:rsidR="0027283D" w:rsidRPr="004E4CA7" w:rsidRDefault="0027283D" w:rsidP="003C7AEF">
            <w:pPr>
              <w:pStyle w:val="ListParagraph"/>
              <w:ind w:left="0"/>
              <w:contextualSpacing w:val="0"/>
              <w:jc w:val="center"/>
              <w:rPr>
                <w:rFonts w:eastAsia="MS Mincho"/>
                <w:lang w:eastAsia="ja-JP"/>
              </w:rPr>
            </w:pPr>
            <w:r>
              <w:rPr>
                <w:rFonts w:eastAsia="MS Mincho" w:hint="eastAsia"/>
                <w:lang w:eastAsia="ja-JP"/>
              </w:rPr>
              <w:t>-</w:t>
            </w:r>
          </w:p>
        </w:tc>
        <w:tc>
          <w:tcPr>
            <w:tcW w:w="1220" w:type="dxa"/>
          </w:tcPr>
          <w:p w:rsidR="0027283D" w:rsidRPr="004E4CA7" w:rsidRDefault="0027283D" w:rsidP="003C7AEF">
            <w:pPr>
              <w:pStyle w:val="ListParagraph"/>
              <w:ind w:left="0"/>
              <w:contextualSpacing w:val="0"/>
              <w:jc w:val="center"/>
              <w:rPr>
                <w:rFonts w:eastAsia="MS Mincho"/>
                <w:lang w:eastAsia="ja-JP"/>
              </w:rPr>
            </w:pPr>
            <w:r>
              <w:rPr>
                <w:rFonts w:eastAsia="MS Mincho" w:hint="eastAsia"/>
                <w:lang w:eastAsia="ja-JP"/>
              </w:rPr>
              <w:t>-</w:t>
            </w:r>
          </w:p>
        </w:tc>
        <w:tc>
          <w:tcPr>
            <w:tcW w:w="1219" w:type="dxa"/>
          </w:tcPr>
          <w:p w:rsidR="0027283D" w:rsidRPr="004E4CA7" w:rsidRDefault="0027283D" w:rsidP="003C7AEF">
            <w:pPr>
              <w:pStyle w:val="ListParagraph"/>
              <w:ind w:left="0"/>
              <w:contextualSpacing w:val="0"/>
              <w:jc w:val="center"/>
              <w:rPr>
                <w:rFonts w:eastAsia="MS Mincho"/>
                <w:lang w:eastAsia="ja-JP"/>
              </w:rPr>
            </w:pPr>
            <w:r>
              <w:rPr>
                <w:rFonts w:eastAsia="MS Mincho" w:hint="eastAsia"/>
                <w:lang w:eastAsia="ja-JP"/>
              </w:rPr>
              <w:t>-</w:t>
            </w:r>
          </w:p>
        </w:tc>
        <w:tc>
          <w:tcPr>
            <w:tcW w:w="1220" w:type="dxa"/>
          </w:tcPr>
          <w:p w:rsidR="0027283D" w:rsidRPr="004E4CA7" w:rsidRDefault="0027283D" w:rsidP="003C7AEF">
            <w:pPr>
              <w:pStyle w:val="ListParagraph"/>
              <w:ind w:left="0"/>
              <w:contextualSpacing w:val="0"/>
              <w:jc w:val="center"/>
              <w:rPr>
                <w:rFonts w:eastAsia="MS Mincho"/>
                <w:lang w:eastAsia="ja-JP"/>
              </w:rPr>
            </w:pPr>
            <w:r>
              <w:rPr>
                <w:rFonts w:eastAsia="MS Mincho" w:hint="eastAsia"/>
                <w:lang w:eastAsia="ja-JP"/>
              </w:rPr>
              <w:t>-</w:t>
            </w:r>
          </w:p>
        </w:tc>
      </w:tr>
      <w:tr w:rsidR="0027283D" w:rsidTr="003C7AEF">
        <w:tc>
          <w:tcPr>
            <w:tcW w:w="1180" w:type="dxa"/>
          </w:tcPr>
          <w:p w:rsidR="0027283D" w:rsidRDefault="0027283D" w:rsidP="003C7AEF">
            <w:pPr>
              <w:pStyle w:val="ListParagraph"/>
              <w:ind w:left="0"/>
              <w:contextualSpacing w:val="0"/>
            </w:pPr>
            <w:r>
              <w:t>B</w:t>
            </w:r>
          </w:p>
        </w:tc>
        <w:tc>
          <w:tcPr>
            <w:tcW w:w="2348" w:type="dxa"/>
          </w:tcPr>
          <w:p w:rsidR="0027283D" w:rsidRDefault="0027283D" w:rsidP="003C7AEF">
            <w:pPr>
              <w:pStyle w:val="ListParagraph"/>
              <w:ind w:left="0"/>
              <w:contextualSpacing w:val="0"/>
            </w:pPr>
            <w:r>
              <w:t>Modify RR</w:t>
            </w:r>
          </w:p>
        </w:tc>
        <w:tc>
          <w:tcPr>
            <w:tcW w:w="1620" w:type="dxa"/>
          </w:tcPr>
          <w:p w:rsidR="0027283D" w:rsidRPr="007F0D19" w:rsidRDefault="0027283D" w:rsidP="003C7AEF">
            <w:pPr>
              <w:pStyle w:val="ListParagraph"/>
              <w:ind w:left="0"/>
              <w:contextualSpacing w:val="0"/>
              <w:rPr>
                <w:rFonts w:eastAsia="MS Mincho"/>
                <w:lang w:eastAsia="ja-JP"/>
              </w:rPr>
            </w:pPr>
            <w:r>
              <w:t>FS &amp; LMS</w:t>
            </w:r>
          </w:p>
        </w:tc>
        <w:tc>
          <w:tcPr>
            <w:tcW w:w="1219" w:type="dxa"/>
          </w:tcPr>
          <w:p w:rsidR="0027283D" w:rsidRPr="007F0D19" w:rsidRDefault="0027283D" w:rsidP="003C7AEF">
            <w:pPr>
              <w:pStyle w:val="ListParagraph"/>
              <w:ind w:left="0"/>
              <w:contextualSpacing w:val="0"/>
              <w:jc w:val="center"/>
              <w:rPr>
                <w:rFonts w:eastAsia="MS Mincho"/>
                <w:lang w:eastAsia="ja-JP"/>
              </w:rPr>
            </w:pPr>
            <w:r>
              <w:rPr>
                <w:rFonts w:eastAsia="MS Mincho" w:hint="eastAsia"/>
                <w:lang w:eastAsia="ja-JP"/>
              </w:rPr>
              <w:t>275-296</w:t>
            </w:r>
          </w:p>
        </w:tc>
        <w:tc>
          <w:tcPr>
            <w:tcW w:w="1220" w:type="dxa"/>
          </w:tcPr>
          <w:p w:rsidR="0027283D" w:rsidRPr="007F0D19" w:rsidRDefault="0027283D" w:rsidP="003C7AEF">
            <w:pPr>
              <w:pStyle w:val="ListParagraph"/>
              <w:ind w:left="0"/>
              <w:contextualSpacing w:val="0"/>
              <w:jc w:val="center"/>
              <w:rPr>
                <w:rFonts w:eastAsia="MS Mincho"/>
                <w:lang w:eastAsia="ja-JP"/>
              </w:rPr>
            </w:pPr>
            <w:r>
              <w:rPr>
                <w:rFonts w:eastAsia="MS Mincho" w:hint="eastAsia"/>
                <w:lang w:eastAsia="ja-JP"/>
              </w:rPr>
              <w:t>306-313</w:t>
            </w:r>
          </w:p>
        </w:tc>
        <w:tc>
          <w:tcPr>
            <w:tcW w:w="1219" w:type="dxa"/>
          </w:tcPr>
          <w:p w:rsidR="0027283D" w:rsidRPr="007F0D19" w:rsidRDefault="0027283D" w:rsidP="003C7AEF">
            <w:pPr>
              <w:pStyle w:val="ListParagraph"/>
              <w:ind w:left="0"/>
              <w:contextualSpacing w:val="0"/>
              <w:jc w:val="center"/>
              <w:rPr>
                <w:rFonts w:eastAsia="MS Mincho"/>
                <w:lang w:eastAsia="ja-JP"/>
              </w:rPr>
            </w:pPr>
            <w:r>
              <w:rPr>
                <w:rFonts w:eastAsia="MS Mincho" w:hint="eastAsia"/>
                <w:lang w:eastAsia="ja-JP"/>
              </w:rPr>
              <w:t>318-333</w:t>
            </w:r>
          </w:p>
        </w:tc>
        <w:tc>
          <w:tcPr>
            <w:tcW w:w="1220" w:type="dxa"/>
          </w:tcPr>
          <w:p w:rsidR="0027283D" w:rsidRPr="007F0D19" w:rsidRDefault="0027283D" w:rsidP="003C7AEF">
            <w:pPr>
              <w:pStyle w:val="ListParagraph"/>
              <w:ind w:left="0"/>
              <w:contextualSpacing w:val="0"/>
              <w:jc w:val="center"/>
              <w:rPr>
                <w:rFonts w:eastAsia="MS Mincho"/>
                <w:lang w:eastAsia="ja-JP"/>
              </w:rPr>
            </w:pPr>
            <w:r>
              <w:rPr>
                <w:rFonts w:eastAsia="MS Mincho" w:hint="eastAsia"/>
                <w:lang w:eastAsia="ja-JP"/>
              </w:rPr>
              <w:t>356-450</w:t>
            </w:r>
          </w:p>
        </w:tc>
      </w:tr>
      <w:tr w:rsidR="0027283D" w:rsidTr="003C7AEF">
        <w:tc>
          <w:tcPr>
            <w:tcW w:w="1180" w:type="dxa"/>
          </w:tcPr>
          <w:p w:rsidR="0027283D" w:rsidRDefault="0027283D" w:rsidP="003C7AEF">
            <w:pPr>
              <w:pStyle w:val="ListParagraph"/>
              <w:ind w:left="0"/>
              <w:contextualSpacing w:val="0"/>
            </w:pPr>
            <w:r>
              <w:lastRenderedPageBreak/>
              <w:t>C</w:t>
            </w:r>
          </w:p>
        </w:tc>
        <w:tc>
          <w:tcPr>
            <w:tcW w:w="2348" w:type="dxa"/>
          </w:tcPr>
          <w:p w:rsidR="0027283D" w:rsidRDefault="0027283D" w:rsidP="003C7AEF">
            <w:pPr>
              <w:pStyle w:val="ListParagraph"/>
              <w:ind w:left="0"/>
              <w:contextualSpacing w:val="0"/>
            </w:pPr>
            <w:r>
              <w:t>Modify RR</w:t>
            </w:r>
          </w:p>
        </w:tc>
        <w:tc>
          <w:tcPr>
            <w:tcW w:w="1620" w:type="dxa"/>
          </w:tcPr>
          <w:p w:rsidR="0027283D" w:rsidRPr="007F0D19" w:rsidRDefault="0027283D" w:rsidP="003C7AEF">
            <w:pPr>
              <w:pStyle w:val="ListParagraph"/>
              <w:ind w:left="0"/>
              <w:contextualSpacing w:val="0"/>
              <w:rPr>
                <w:rFonts w:eastAsia="MS Mincho"/>
                <w:lang w:eastAsia="ja-JP"/>
              </w:rPr>
            </w:pPr>
            <w:r>
              <w:t>FS &amp; LMS</w:t>
            </w:r>
          </w:p>
        </w:tc>
        <w:tc>
          <w:tcPr>
            <w:tcW w:w="1219" w:type="dxa"/>
          </w:tcPr>
          <w:p w:rsidR="0027283D" w:rsidRPr="007F0D19" w:rsidRDefault="0027283D" w:rsidP="003C7AEF">
            <w:pPr>
              <w:pStyle w:val="ListParagraph"/>
              <w:ind w:left="0"/>
              <w:contextualSpacing w:val="0"/>
              <w:jc w:val="center"/>
              <w:rPr>
                <w:rFonts w:eastAsia="MS Mincho"/>
                <w:lang w:eastAsia="ja-JP"/>
              </w:rPr>
            </w:pPr>
            <w:r>
              <w:rPr>
                <w:rFonts w:eastAsia="MS Mincho" w:hint="eastAsia"/>
                <w:lang w:eastAsia="ja-JP"/>
              </w:rPr>
              <w:t>275-296</w:t>
            </w:r>
          </w:p>
        </w:tc>
        <w:tc>
          <w:tcPr>
            <w:tcW w:w="1220" w:type="dxa"/>
          </w:tcPr>
          <w:p w:rsidR="0027283D" w:rsidRDefault="0027283D" w:rsidP="003C7AEF">
            <w:pPr>
              <w:pStyle w:val="ListParagraph"/>
              <w:ind w:left="0"/>
              <w:contextualSpacing w:val="0"/>
              <w:jc w:val="center"/>
            </w:pPr>
            <w:r>
              <w:rPr>
                <w:rFonts w:eastAsia="MS Mincho" w:hint="eastAsia"/>
                <w:lang w:eastAsia="ja-JP"/>
              </w:rPr>
              <w:t>306-313</w:t>
            </w:r>
          </w:p>
        </w:tc>
        <w:tc>
          <w:tcPr>
            <w:tcW w:w="1219" w:type="dxa"/>
          </w:tcPr>
          <w:p w:rsidR="0027283D" w:rsidRDefault="0027283D" w:rsidP="003C7AEF">
            <w:pPr>
              <w:pStyle w:val="ListParagraph"/>
              <w:ind w:left="0"/>
              <w:contextualSpacing w:val="0"/>
              <w:jc w:val="center"/>
            </w:pPr>
            <w:r w:rsidRPr="0018250B">
              <w:rPr>
                <w:rFonts w:eastAsiaTheme="minorEastAsia"/>
                <w:lang w:eastAsia="ja-JP"/>
              </w:rPr>
              <w:t>320-330</w:t>
            </w:r>
          </w:p>
        </w:tc>
        <w:tc>
          <w:tcPr>
            <w:tcW w:w="1220" w:type="dxa"/>
          </w:tcPr>
          <w:p w:rsidR="0027283D" w:rsidRDefault="0027283D" w:rsidP="003C7AEF">
            <w:pPr>
              <w:pStyle w:val="ListParagraph"/>
              <w:ind w:left="0"/>
              <w:contextualSpacing w:val="0"/>
              <w:jc w:val="center"/>
            </w:pPr>
            <w:r w:rsidRPr="00873B23">
              <w:t>356-450</w:t>
            </w:r>
          </w:p>
        </w:tc>
      </w:tr>
      <w:tr w:rsidR="0027283D" w:rsidTr="003C7AEF">
        <w:tc>
          <w:tcPr>
            <w:tcW w:w="1180" w:type="dxa"/>
          </w:tcPr>
          <w:p w:rsidR="0027283D" w:rsidRDefault="0027283D" w:rsidP="003C7AEF">
            <w:pPr>
              <w:pStyle w:val="ListParagraph"/>
              <w:ind w:left="0"/>
              <w:contextualSpacing w:val="0"/>
            </w:pPr>
            <w:r>
              <w:t>D Opt. 1</w:t>
            </w:r>
          </w:p>
        </w:tc>
        <w:tc>
          <w:tcPr>
            <w:tcW w:w="2348" w:type="dxa"/>
          </w:tcPr>
          <w:p w:rsidR="0027283D" w:rsidRDefault="0027283D" w:rsidP="003C7AEF">
            <w:pPr>
              <w:pStyle w:val="ListParagraph"/>
              <w:ind w:left="0"/>
              <w:contextualSpacing w:val="0"/>
            </w:pPr>
            <w:r>
              <w:t>Add footnote 5A115</w:t>
            </w:r>
          </w:p>
        </w:tc>
        <w:tc>
          <w:tcPr>
            <w:tcW w:w="1620" w:type="dxa"/>
          </w:tcPr>
          <w:p w:rsidR="0027283D" w:rsidRPr="007F0D19" w:rsidRDefault="0027283D" w:rsidP="003C7AEF">
            <w:pPr>
              <w:pStyle w:val="ListParagraph"/>
              <w:ind w:left="0"/>
              <w:contextualSpacing w:val="0"/>
              <w:rPr>
                <w:rFonts w:eastAsia="MS Mincho"/>
              </w:rPr>
            </w:pPr>
            <w:r>
              <w:rPr>
                <w:rFonts w:eastAsiaTheme="minorEastAsia"/>
                <w:lang w:eastAsia="ja-JP"/>
              </w:rPr>
              <w:t>FS &amp; LMS</w:t>
            </w:r>
          </w:p>
        </w:tc>
        <w:tc>
          <w:tcPr>
            <w:tcW w:w="1219" w:type="dxa"/>
          </w:tcPr>
          <w:p w:rsidR="0027283D" w:rsidRPr="007F0D19" w:rsidRDefault="0027283D" w:rsidP="003C7AEF">
            <w:pPr>
              <w:pStyle w:val="ListParagraph"/>
              <w:ind w:left="0"/>
              <w:contextualSpacing w:val="0"/>
              <w:jc w:val="center"/>
              <w:rPr>
                <w:rFonts w:eastAsia="MS Mincho"/>
                <w:lang w:eastAsia="ja-JP"/>
              </w:rPr>
            </w:pPr>
            <w:r>
              <w:rPr>
                <w:rFonts w:eastAsia="MS Mincho" w:hint="eastAsia"/>
                <w:lang w:eastAsia="ja-JP"/>
              </w:rPr>
              <w:t>275-296</w:t>
            </w:r>
          </w:p>
        </w:tc>
        <w:tc>
          <w:tcPr>
            <w:tcW w:w="1220" w:type="dxa"/>
          </w:tcPr>
          <w:p w:rsidR="0027283D" w:rsidRDefault="0027283D" w:rsidP="003C7AEF">
            <w:pPr>
              <w:pStyle w:val="ListParagraph"/>
              <w:ind w:left="0"/>
              <w:contextualSpacing w:val="0"/>
              <w:jc w:val="center"/>
              <w:rPr>
                <w:rFonts w:eastAsiaTheme="minorEastAsia"/>
                <w:lang w:eastAsia="ja-JP"/>
              </w:rPr>
            </w:pPr>
            <w:r>
              <w:rPr>
                <w:rFonts w:eastAsia="MS Mincho" w:hint="eastAsia"/>
                <w:lang w:eastAsia="ja-JP"/>
              </w:rPr>
              <w:t>306-313</w:t>
            </w:r>
          </w:p>
        </w:tc>
        <w:tc>
          <w:tcPr>
            <w:tcW w:w="1219" w:type="dxa"/>
          </w:tcPr>
          <w:p w:rsidR="0027283D" w:rsidRDefault="0027283D" w:rsidP="003C7AEF">
            <w:pPr>
              <w:pStyle w:val="ListParagraph"/>
              <w:ind w:left="0"/>
              <w:contextualSpacing w:val="0"/>
              <w:jc w:val="center"/>
              <w:rPr>
                <w:rFonts w:eastAsiaTheme="minorEastAsia"/>
                <w:lang w:eastAsia="ja-JP"/>
              </w:rPr>
            </w:pPr>
            <w:r w:rsidRPr="00D07415">
              <w:rPr>
                <w:rFonts w:eastAsiaTheme="minorEastAsia"/>
                <w:lang w:eastAsia="ja-JP"/>
              </w:rPr>
              <w:t>320-330</w:t>
            </w:r>
          </w:p>
        </w:tc>
        <w:tc>
          <w:tcPr>
            <w:tcW w:w="1220" w:type="dxa"/>
          </w:tcPr>
          <w:p w:rsidR="0027283D" w:rsidRDefault="0027283D" w:rsidP="003C7AEF">
            <w:pPr>
              <w:pStyle w:val="ListParagraph"/>
              <w:ind w:left="0"/>
              <w:contextualSpacing w:val="0"/>
              <w:jc w:val="center"/>
              <w:rPr>
                <w:rFonts w:eastAsiaTheme="minorEastAsia"/>
                <w:lang w:eastAsia="ja-JP"/>
              </w:rPr>
            </w:pPr>
            <w:r w:rsidRPr="00873B23">
              <w:t>356-450</w:t>
            </w:r>
          </w:p>
        </w:tc>
      </w:tr>
      <w:tr w:rsidR="0027283D" w:rsidTr="003C7AEF">
        <w:tc>
          <w:tcPr>
            <w:tcW w:w="1180" w:type="dxa"/>
            <w:vMerge w:val="restart"/>
          </w:tcPr>
          <w:p w:rsidR="0027283D" w:rsidRDefault="0027283D" w:rsidP="003C7AEF">
            <w:pPr>
              <w:pStyle w:val="ListParagraph"/>
              <w:ind w:left="0"/>
              <w:contextualSpacing w:val="0"/>
            </w:pPr>
            <w:r>
              <w:t>D Opt. 2</w:t>
            </w:r>
          </w:p>
        </w:tc>
        <w:tc>
          <w:tcPr>
            <w:tcW w:w="2348" w:type="dxa"/>
            <w:vMerge w:val="restart"/>
          </w:tcPr>
          <w:p w:rsidR="0027283D" w:rsidRDefault="0027283D" w:rsidP="003C7AEF">
            <w:pPr>
              <w:pStyle w:val="ListParagraph"/>
              <w:ind w:left="0"/>
              <w:contextualSpacing w:val="0"/>
            </w:pPr>
            <w:r>
              <w:t>Add footnote 5B115</w:t>
            </w:r>
          </w:p>
        </w:tc>
        <w:tc>
          <w:tcPr>
            <w:tcW w:w="1620" w:type="dxa"/>
          </w:tcPr>
          <w:p w:rsidR="0027283D" w:rsidRDefault="0027283D" w:rsidP="003C7AEF">
            <w:pPr>
              <w:pStyle w:val="ListParagraph"/>
              <w:ind w:left="0"/>
              <w:contextualSpacing w:val="0"/>
            </w:pPr>
            <w:r>
              <w:rPr>
                <w:rFonts w:eastAsiaTheme="minorEastAsia"/>
                <w:lang w:eastAsia="ja-JP"/>
              </w:rPr>
              <w:t xml:space="preserve">FS </w:t>
            </w:r>
          </w:p>
        </w:tc>
        <w:tc>
          <w:tcPr>
            <w:tcW w:w="1219" w:type="dxa"/>
          </w:tcPr>
          <w:p w:rsidR="0027283D" w:rsidRPr="007F0D19" w:rsidRDefault="0027283D" w:rsidP="003C7AEF">
            <w:pPr>
              <w:pStyle w:val="ListParagraph"/>
              <w:ind w:left="0"/>
              <w:contextualSpacing w:val="0"/>
              <w:jc w:val="center"/>
              <w:rPr>
                <w:rFonts w:eastAsia="MS Mincho"/>
                <w:lang w:eastAsia="ja-JP"/>
              </w:rPr>
            </w:pPr>
            <w:r>
              <w:rPr>
                <w:rFonts w:eastAsia="MS Mincho" w:hint="eastAsia"/>
                <w:lang w:eastAsia="ja-JP"/>
              </w:rPr>
              <w:t>275-296</w:t>
            </w:r>
          </w:p>
        </w:tc>
        <w:tc>
          <w:tcPr>
            <w:tcW w:w="1220" w:type="dxa"/>
          </w:tcPr>
          <w:p w:rsidR="0027283D" w:rsidRDefault="0027283D" w:rsidP="003C7AEF">
            <w:pPr>
              <w:pStyle w:val="ListParagraph"/>
              <w:ind w:left="0"/>
              <w:contextualSpacing w:val="0"/>
              <w:jc w:val="center"/>
              <w:rPr>
                <w:rFonts w:eastAsiaTheme="minorEastAsia"/>
                <w:lang w:eastAsia="ja-JP"/>
              </w:rPr>
            </w:pPr>
            <w:r>
              <w:rPr>
                <w:rFonts w:eastAsia="MS Mincho" w:hint="eastAsia"/>
                <w:lang w:eastAsia="ja-JP"/>
              </w:rPr>
              <w:t>306-313</w:t>
            </w:r>
          </w:p>
        </w:tc>
        <w:tc>
          <w:tcPr>
            <w:tcW w:w="1219" w:type="dxa"/>
          </w:tcPr>
          <w:p w:rsidR="0027283D" w:rsidRDefault="0027283D" w:rsidP="003C7AEF">
            <w:pPr>
              <w:pStyle w:val="ListParagraph"/>
              <w:ind w:left="0"/>
              <w:contextualSpacing w:val="0"/>
              <w:jc w:val="center"/>
              <w:rPr>
                <w:rFonts w:eastAsiaTheme="minorEastAsia"/>
                <w:lang w:eastAsia="ja-JP"/>
              </w:rPr>
            </w:pPr>
            <w:r w:rsidRPr="00D07415">
              <w:rPr>
                <w:rFonts w:eastAsiaTheme="minorEastAsia"/>
                <w:lang w:eastAsia="ja-JP"/>
              </w:rPr>
              <w:t>319-325</w:t>
            </w:r>
          </w:p>
        </w:tc>
        <w:tc>
          <w:tcPr>
            <w:tcW w:w="1220" w:type="dxa"/>
          </w:tcPr>
          <w:p w:rsidR="0027283D" w:rsidRDefault="006559DF" w:rsidP="003C7AEF">
            <w:pPr>
              <w:pStyle w:val="ListParagraph"/>
              <w:ind w:left="0"/>
              <w:contextualSpacing w:val="0"/>
              <w:jc w:val="center"/>
              <w:rPr>
                <w:rFonts w:eastAsiaTheme="minorEastAsia"/>
                <w:lang w:eastAsia="ja-JP"/>
              </w:rPr>
            </w:pPr>
            <w:r>
              <w:rPr>
                <w:rFonts w:eastAsiaTheme="minorEastAsia"/>
                <w:lang w:eastAsia="ja-JP"/>
              </w:rPr>
              <w:t>-</w:t>
            </w:r>
          </w:p>
        </w:tc>
      </w:tr>
      <w:tr w:rsidR="0027283D" w:rsidTr="003C7AEF">
        <w:tc>
          <w:tcPr>
            <w:tcW w:w="1180" w:type="dxa"/>
            <w:vMerge/>
          </w:tcPr>
          <w:p w:rsidR="0027283D" w:rsidRDefault="0027283D" w:rsidP="003C7AEF">
            <w:pPr>
              <w:pStyle w:val="ListParagraph"/>
              <w:ind w:left="0"/>
              <w:contextualSpacing w:val="0"/>
            </w:pPr>
          </w:p>
        </w:tc>
        <w:tc>
          <w:tcPr>
            <w:tcW w:w="2348" w:type="dxa"/>
            <w:vMerge/>
          </w:tcPr>
          <w:p w:rsidR="0027283D" w:rsidRDefault="0027283D" w:rsidP="003C7AEF">
            <w:pPr>
              <w:pStyle w:val="ListParagraph"/>
              <w:ind w:left="0"/>
              <w:contextualSpacing w:val="0"/>
            </w:pPr>
          </w:p>
        </w:tc>
        <w:tc>
          <w:tcPr>
            <w:tcW w:w="1620" w:type="dxa"/>
          </w:tcPr>
          <w:p w:rsidR="0027283D" w:rsidRPr="007F0D19" w:rsidRDefault="0027283D" w:rsidP="003C7AEF">
            <w:pPr>
              <w:pStyle w:val="ListParagraph"/>
              <w:ind w:left="0"/>
              <w:contextualSpacing w:val="0"/>
              <w:rPr>
                <w:rFonts w:eastAsia="MS Mincho"/>
                <w:lang w:eastAsia="ja-JP"/>
              </w:rPr>
            </w:pPr>
            <w:r>
              <w:rPr>
                <w:rFonts w:eastAsia="MS Mincho" w:hint="eastAsia"/>
                <w:lang w:eastAsia="ja-JP"/>
              </w:rPr>
              <w:t>LMS</w:t>
            </w:r>
          </w:p>
        </w:tc>
        <w:tc>
          <w:tcPr>
            <w:tcW w:w="3658" w:type="dxa"/>
            <w:gridSpan w:val="3"/>
          </w:tcPr>
          <w:p w:rsidR="0027283D" w:rsidRPr="007F0D19" w:rsidRDefault="0027283D" w:rsidP="003C7AEF">
            <w:pPr>
              <w:pStyle w:val="ListParagraph"/>
              <w:ind w:left="0"/>
              <w:contextualSpacing w:val="0"/>
              <w:jc w:val="center"/>
              <w:rPr>
                <w:rFonts w:eastAsia="MS Mincho"/>
                <w:lang w:eastAsia="ja-JP"/>
              </w:rPr>
            </w:pPr>
            <w:r>
              <w:rPr>
                <w:rFonts w:eastAsia="MS Mincho" w:hint="eastAsia"/>
                <w:lang w:eastAsia="ja-JP"/>
              </w:rPr>
              <w:t>275-325</w:t>
            </w:r>
          </w:p>
        </w:tc>
        <w:tc>
          <w:tcPr>
            <w:tcW w:w="1220" w:type="dxa"/>
          </w:tcPr>
          <w:p w:rsidR="0027283D" w:rsidRPr="004E4CA7" w:rsidRDefault="0027283D" w:rsidP="003C7AEF">
            <w:pPr>
              <w:pStyle w:val="ListParagraph"/>
              <w:ind w:left="0"/>
              <w:contextualSpacing w:val="0"/>
              <w:jc w:val="center"/>
              <w:rPr>
                <w:rFonts w:eastAsia="MS Mincho"/>
                <w:lang w:eastAsia="ja-JP"/>
              </w:rPr>
            </w:pPr>
            <w:r>
              <w:rPr>
                <w:rFonts w:eastAsia="MS Mincho" w:hint="eastAsia"/>
                <w:lang w:eastAsia="ja-JP"/>
              </w:rPr>
              <w:t>-</w:t>
            </w:r>
          </w:p>
        </w:tc>
      </w:tr>
      <w:tr w:rsidR="0027283D" w:rsidTr="003C7AEF">
        <w:tc>
          <w:tcPr>
            <w:tcW w:w="1180" w:type="dxa"/>
          </w:tcPr>
          <w:p w:rsidR="0027283D" w:rsidRDefault="0027283D" w:rsidP="003C7AEF">
            <w:pPr>
              <w:pStyle w:val="ListParagraph"/>
              <w:ind w:left="0"/>
              <w:contextualSpacing w:val="0"/>
            </w:pPr>
            <w:r>
              <w:t>E</w:t>
            </w:r>
          </w:p>
        </w:tc>
        <w:tc>
          <w:tcPr>
            <w:tcW w:w="2348" w:type="dxa"/>
          </w:tcPr>
          <w:p w:rsidR="0027283D" w:rsidRDefault="0027283D" w:rsidP="003C7AEF">
            <w:pPr>
              <w:pStyle w:val="ListParagraph"/>
              <w:ind w:left="0"/>
              <w:contextualSpacing w:val="0"/>
              <w:rPr>
                <w:rFonts w:eastAsia="MS Mincho"/>
                <w:lang w:eastAsia="ja-JP"/>
              </w:rPr>
            </w:pPr>
            <w:r>
              <w:t xml:space="preserve">Modify RR </w:t>
            </w:r>
            <w:r w:rsidR="008068E7">
              <w:rPr>
                <w:rFonts w:eastAsia="MS Mincho"/>
                <w:lang w:eastAsia="ja-JP"/>
              </w:rPr>
              <w:t>and</w:t>
            </w:r>
            <w:r>
              <w:rPr>
                <w:rFonts w:eastAsia="MS Mincho" w:hint="eastAsia"/>
                <w:lang w:eastAsia="ja-JP"/>
              </w:rPr>
              <w:t xml:space="preserve"> </w:t>
            </w:r>
          </w:p>
          <w:p w:rsidR="0027283D" w:rsidRDefault="0027283D" w:rsidP="003C7AEF">
            <w:pPr>
              <w:pStyle w:val="ListParagraph"/>
              <w:ind w:left="0"/>
              <w:contextualSpacing w:val="0"/>
            </w:pPr>
            <w:r>
              <w:t>Add footnote 5C115</w:t>
            </w:r>
          </w:p>
        </w:tc>
        <w:tc>
          <w:tcPr>
            <w:tcW w:w="1620" w:type="dxa"/>
          </w:tcPr>
          <w:p w:rsidR="0027283D" w:rsidRDefault="0027283D" w:rsidP="003C7AEF">
            <w:pPr>
              <w:pStyle w:val="ListParagraph"/>
              <w:ind w:left="0"/>
              <w:contextualSpacing w:val="0"/>
            </w:pPr>
            <w:r>
              <w:t>FS &amp; LMS</w:t>
            </w:r>
          </w:p>
        </w:tc>
        <w:tc>
          <w:tcPr>
            <w:tcW w:w="1219" w:type="dxa"/>
          </w:tcPr>
          <w:p w:rsidR="0027283D" w:rsidRPr="007F0D19" w:rsidRDefault="0027283D" w:rsidP="003C7AEF">
            <w:pPr>
              <w:pStyle w:val="ListParagraph"/>
              <w:ind w:left="0"/>
              <w:contextualSpacing w:val="0"/>
              <w:jc w:val="center"/>
              <w:rPr>
                <w:rFonts w:eastAsia="MS Mincho"/>
                <w:lang w:eastAsia="ja-JP"/>
              </w:rPr>
            </w:pPr>
            <w:r>
              <w:rPr>
                <w:rFonts w:eastAsia="MS Mincho" w:hint="eastAsia"/>
                <w:lang w:eastAsia="ja-JP"/>
              </w:rPr>
              <w:t>275-296</w:t>
            </w:r>
          </w:p>
        </w:tc>
        <w:tc>
          <w:tcPr>
            <w:tcW w:w="1220" w:type="dxa"/>
          </w:tcPr>
          <w:p w:rsidR="0027283D" w:rsidRDefault="0027283D" w:rsidP="003C7AEF">
            <w:pPr>
              <w:pStyle w:val="ListParagraph"/>
              <w:ind w:left="0"/>
              <w:contextualSpacing w:val="0"/>
              <w:jc w:val="center"/>
            </w:pPr>
            <w:r>
              <w:rPr>
                <w:rFonts w:eastAsia="MS Mincho" w:hint="eastAsia"/>
                <w:lang w:eastAsia="ja-JP"/>
              </w:rPr>
              <w:t>306-313</w:t>
            </w:r>
          </w:p>
        </w:tc>
        <w:tc>
          <w:tcPr>
            <w:tcW w:w="1219" w:type="dxa"/>
          </w:tcPr>
          <w:p w:rsidR="0027283D" w:rsidRDefault="0027283D" w:rsidP="003C7AEF">
            <w:pPr>
              <w:pStyle w:val="ListParagraph"/>
              <w:ind w:left="0"/>
              <w:contextualSpacing w:val="0"/>
              <w:jc w:val="center"/>
            </w:pPr>
            <w:r w:rsidRPr="00873B23">
              <w:t>318-333</w:t>
            </w:r>
          </w:p>
        </w:tc>
        <w:tc>
          <w:tcPr>
            <w:tcW w:w="1220" w:type="dxa"/>
          </w:tcPr>
          <w:p w:rsidR="0027283D" w:rsidRDefault="0027283D" w:rsidP="003C7AEF">
            <w:pPr>
              <w:pStyle w:val="ListParagraph"/>
              <w:ind w:left="0"/>
              <w:contextualSpacing w:val="0"/>
              <w:jc w:val="center"/>
            </w:pPr>
            <w:r w:rsidRPr="00873B23">
              <w:t>356-450</w:t>
            </w:r>
          </w:p>
        </w:tc>
      </w:tr>
    </w:tbl>
    <w:p w:rsidR="0027283D" w:rsidRDefault="0027283D" w:rsidP="00953887">
      <w:pPr>
        <w:pStyle w:val="ListParagraph"/>
        <w:spacing w:after="120"/>
        <w:ind w:left="0"/>
        <w:contextualSpacing w:val="0"/>
      </w:pPr>
    </w:p>
    <w:p w:rsidR="00953887" w:rsidRDefault="006559DF" w:rsidP="00953887">
      <w:pPr>
        <w:pStyle w:val="ListParagraph"/>
        <w:spacing w:after="120"/>
        <w:ind w:left="0"/>
        <w:contextualSpacing w:val="0"/>
      </w:pPr>
      <w:r w:rsidRPr="00953887">
        <w:t xml:space="preserve">INP-66 </w:t>
      </w:r>
      <w:r w:rsidR="00D068D5" w:rsidRPr="00953887">
        <w:t xml:space="preserve">proposed to </w:t>
      </w:r>
      <w:r w:rsidR="001B3D44" w:rsidRPr="00953887">
        <w:t xml:space="preserve">remove Method D Option 2 and replace with </w:t>
      </w:r>
      <w:r w:rsidR="009E64CA" w:rsidRPr="00953887">
        <w:t>Method</w:t>
      </w:r>
      <w:r w:rsidR="001B3D44" w:rsidRPr="00953887">
        <w:t xml:space="preserve"> F.</w:t>
      </w:r>
    </w:p>
    <w:p w:rsidR="00953887" w:rsidRDefault="001B3D44" w:rsidP="00953887">
      <w:pPr>
        <w:pStyle w:val="ListParagraph"/>
        <w:spacing w:after="120"/>
        <w:ind w:left="0"/>
        <w:contextualSpacing w:val="0"/>
      </w:pPr>
      <w:r w:rsidRPr="00953887">
        <w:t>INP-103</w:t>
      </w:r>
      <w:r w:rsidR="009E64CA" w:rsidRPr="00953887">
        <w:t xml:space="preserve"> </w:t>
      </w:r>
      <w:r w:rsidR="00D068D5" w:rsidRPr="00953887">
        <w:t>proposed to add</w:t>
      </w:r>
      <w:r w:rsidR="009E64CA" w:rsidRPr="00953887">
        <w:t xml:space="preserve"> Method G with </w:t>
      </w:r>
      <w:r w:rsidR="000E4D03" w:rsidRPr="00A13D67">
        <w:t>adding a new footnote</w:t>
      </w:r>
      <w:r w:rsidR="009E64CA" w:rsidRPr="00A13D67">
        <w:t>.</w:t>
      </w:r>
    </w:p>
    <w:p w:rsidR="00D068D5" w:rsidRDefault="00D068D5" w:rsidP="00953887">
      <w:pPr>
        <w:pStyle w:val="ListParagraph"/>
        <w:spacing w:after="120"/>
        <w:ind w:left="0"/>
        <w:contextualSpacing w:val="0"/>
      </w:pPr>
      <w:r w:rsidRPr="00953887">
        <w:t>Summary of the Proposed Methods become:</w:t>
      </w:r>
    </w:p>
    <w:p w:rsidR="005838D0" w:rsidRPr="00A13D67" w:rsidRDefault="005838D0" w:rsidP="005838D0">
      <w:pPr>
        <w:pStyle w:val="ListParagraph"/>
        <w:spacing w:after="120"/>
        <w:ind w:left="270"/>
        <w:contextualSpacing w:val="0"/>
        <w:jc w:val="center"/>
        <w:rPr>
          <w:b/>
        </w:rPr>
      </w:pPr>
      <w:r w:rsidRPr="00A13D67">
        <w:rPr>
          <w:b/>
        </w:rPr>
        <w:t xml:space="preserve">Table 2 - </w:t>
      </w:r>
      <w:r w:rsidRPr="00A13D67">
        <w:rPr>
          <w:b/>
          <w:lang w:val="en-NZ" w:eastAsia="ko-KR"/>
        </w:rPr>
        <w:t>Summary of Proposed Methods Agreed in APG19-4</w:t>
      </w:r>
    </w:p>
    <w:tbl>
      <w:tblPr>
        <w:tblStyle w:val="TableGrid"/>
        <w:tblW w:w="0" w:type="auto"/>
        <w:tblInd w:w="270" w:type="dxa"/>
        <w:tblLook w:val="04A0" w:firstRow="1" w:lastRow="0" w:firstColumn="1" w:lastColumn="0" w:noHBand="0" w:noVBand="1"/>
      </w:tblPr>
      <w:tblGrid>
        <w:gridCol w:w="1160"/>
        <w:gridCol w:w="1953"/>
        <w:gridCol w:w="1560"/>
        <w:gridCol w:w="1111"/>
        <w:gridCol w:w="1112"/>
        <w:gridCol w:w="1111"/>
        <w:gridCol w:w="1112"/>
      </w:tblGrid>
      <w:tr w:rsidR="006559DF" w:rsidTr="003C7AEF">
        <w:tc>
          <w:tcPr>
            <w:tcW w:w="1180" w:type="dxa"/>
            <w:vMerge w:val="restart"/>
            <w:vAlign w:val="center"/>
          </w:tcPr>
          <w:p w:rsidR="006559DF" w:rsidRPr="00661B15" w:rsidRDefault="006559DF" w:rsidP="003C7AEF">
            <w:pPr>
              <w:pStyle w:val="ListParagraph"/>
              <w:ind w:left="0"/>
              <w:jc w:val="center"/>
              <w:rPr>
                <w:b/>
              </w:rPr>
            </w:pPr>
            <w:r w:rsidRPr="00661B15">
              <w:rPr>
                <w:b/>
              </w:rPr>
              <w:t>Methods</w:t>
            </w:r>
          </w:p>
        </w:tc>
        <w:tc>
          <w:tcPr>
            <w:tcW w:w="2348" w:type="dxa"/>
            <w:vMerge w:val="restart"/>
            <w:vAlign w:val="center"/>
          </w:tcPr>
          <w:p w:rsidR="006559DF" w:rsidRPr="00661B15" w:rsidRDefault="006559DF" w:rsidP="003C7AEF">
            <w:pPr>
              <w:pStyle w:val="ListParagraph"/>
              <w:ind w:left="0"/>
              <w:jc w:val="center"/>
              <w:rPr>
                <w:b/>
              </w:rPr>
            </w:pPr>
            <w:r w:rsidRPr="00661B15">
              <w:rPr>
                <w:b/>
              </w:rPr>
              <w:t>Action</w:t>
            </w:r>
          </w:p>
        </w:tc>
        <w:tc>
          <w:tcPr>
            <w:tcW w:w="1620" w:type="dxa"/>
            <w:vMerge w:val="restart"/>
            <w:vAlign w:val="center"/>
          </w:tcPr>
          <w:p w:rsidR="006559DF" w:rsidRDefault="006559DF" w:rsidP="003C7AEF">
            <w:pPr>
              <w:pStyle w:val="ListParagraph"/>
              <w:ind w:left="0"/>
              <w:jc w:val="center"/>
              <w:rPr>
                <w:rFonts w:eastAsia="MS Mincho"/>
                <w:b/>
                <w:lang w:eastAsia="ja-JP"/>
              </w:rPr>
            </w:pPr>
            <w:r>
              <w:rPr>
                <w:rFonts w:eastAsia="MS Mincho" w:hint="eastAsia"/>
                <w:b/>
                <w:lang w:eastAsia="ja-JP"/>
              </w:rPr>
              <w:t>Application Service</w:t>
            </w:r>
          </w:p>
        </w:tc>
        <w:tc>
          <w:tcPr>
            <w:tcW w:w="4878" w:type="dxa"/>
            <w:gridSpan w:val="4"/>
          </w:tcPr>
          <w:p w:rsidR="006559DF" w:rsidRDefault="006559DF" w:rsidP="003C7AEF">
            <w:pPr>
              <w:pStyle w:val="ListParagraph"/>
              <w:ind w:left="0"/>
              <w:contextualSpacing w:val="0"/>
              <w:jc w:val="center"/>
              <w:rPr>
                <w:rFonts w:eastAsia="MS Mincho"/>
                <w:b/>
                <w:lang w:eastAsia="ja-JP"/>
              </w:rPr>
            </w:pPr>
            <w:r>
              <w:rPr>
                <w:rFonts w:eastAsia="MS Mincho" w:hint="eastAsia"/>
                <w:b/>
                <w:lang w:eastAsia="ja-JP"/>
              </w:rPr>
              <w:t>Proposed Bands for Service</w:t>
            </w:r>
          </w:p>
        </w:tc>
      </w:tr>
      <w:tr w:rsidR="006559DF" w:rsidTr="003C7AEF">
        <w:tc>
          <w:tcPr>
            <w:tcW w:w="1180" w:type="dxa"/>
            <w:vMerge/>
          </w:tcPr>
          <w:p w:rsidR="006559DF" w:rsidRPr="00661B15" w:rsidRDefault="006559DF" w:rsidP="003C7AEF">
            <w:pPr>
              <w:pStyle w:val="ListParagraph"/>
              <w:ind w:left="0"/>
              <w:contextualSpacing w:val="0"/>
              <w:jc w:val="center"/>
              <w:rPr>
                <w:b/>
              </w:rPr>
            </w:pPr>
          </w:p>
        </w:tc>
        <w:tc>
          <w:tcPr>
            <w:tcW w:w="2348" w:type="dxa"/>
            <w:vMerge/>
          </w:tcPr>
          <w:p w:rsidR="006559DF" w:rsidRPr="00661B15" w:rsidRDefault="006559DF" w:rsidP="003C7AEF">
            <w:pPr>
              <w:pStyle w:val="ListParagraph"/>
              <w:ind w:left="0"/>
              <w:contextualSpacing w:val="0"/>
              <w:jc w:val="center"/>
              <w:rPr>
                <w:b/>
              </w:rPr>
            </w:pPr>
          </w:p>
        </w:tc>
        <w:tc>
          <w:tcPr>
            <w:tcW w:w="1620" w:type="dxa"/>
            <w:vMerge/>
          </w:tcPr>
          <w:p w:rsidR="006559DF" w:rsidRPr="007F0D19" w:rsidRDefault="006559DF" w:rsidP="003C7AEF">
            <w:pPr>
              <w:pStyle w:val="ListParagraph"/>
              <w:ind w:left="0"/>
              <w:contextualSpacing w:val="0"/>
              <w:jc w:val="center"/>
              <w:rPr>
                <w:rFonts w:eastAsia="MS Mincho"/>
                <w:b/>
                <w:lang w:eastAsia="ja-JP"/>
              </w:rPr>
            </w:pPr>
          </w:p>
        </w:tc>
        <w:tc>
          <w:tcPr>
            <w:tcW w:w="1219" w:type="dxa"/>
          </w:tcPr>
          <w:p w:rsidR="006559DF" w:rsidRPr="007F0D19" w:rsidRDefault="006559DF" w:rsidP="003C7AEF">
            <w:pPr>
              <w:pStyle w:val="ListParagraph"/>
              <w:ind w:left="0"/>
              <w:contextualSpacing w:val="0"/>
              <w:jc w:val="center"/>
              <w:rPr>
                <w:rFonts w:eastAsia="MS Mincho"/>
                <w:b/>
                <w:lang w:eastAsia="ja-JP"/>
              </w:rPr>
            </w:pPr>
            <w:r>
              <w:rPr>
                <w:rFonts w:eastAsia="MS Mincho" w:hint="eastAsia"/>
                <w:b/>
                <w:lang w:eastAsia="ja-JP"/>
              </w:rPr>
              <w:t>Band 1 (GHz)</w:t>
            </w:r>
          </w:p>
        </w:tc>
        <w:tc>
          <w:tcPr>
            <w:tcW w:w="1220" w:type="dxa"/>
          </w:tcPr>
          <w:p w:rsidR="006559DF" w:rsidRPr="00661B15" w:rsidRDefault="006559DF" w:rsidP="003C7AEF">
            <w:pPr>
              <w:pStyle w:val="ListParagraph"/>
              <w:ind w:left="0"/>
              <w:contextualSpacing w:val="0"/>
              <w:jc w:val="center"/>
              <w:rPr>
                <w:b/>
              </w:rPr>
            </w:pPr>
            <w:r>
              <w:rPr>
                <w:rFonts w:eastAsia="MS Mincho" w:hint="eastAsia"/>
                <w:b/>
                <w:lang w:eastAsia="ja-JP"/>
              </w:rPr>
              <w:t>Band 2 (GHz)</w:t>
            </w:r>
          </w:p>
        </w:tc>
        <w:tc>
          <w:tcPr>
            <w:tcW w:w="1219" w:type="dxa"/>
          </w:tcPr>
          <w:p w:rsidR="006559DF" w:rsidRPr="00661B15" w:rsidRDefault="006559DF" w:rsidP="003C7AEF">
            <w:pPr>
              <w:pStyle w:val="ListParagraph"/>
              <w:ind w:left="0"/>
              <w:contextualSpacing w:val="0"/>
              <w:jc w:val="center"/>
              <w:rPr>
                <w:b/>
              </w:rPr>
            </w:pPr>
            <w:r>
              <w:rPr>
                <w:rFonts w:eastAsia="MS Mincho" w:hint="eastAsia"/>
                <w:b/>
                <w:lang w:eastAsia="ja-JP"/>
              </w:rPr>
              <w:t>Band 3 (GHz)</w:t>
            </w:r>
          </w:p>
        </w:tc>
        <w:tc>
          <w:tcPr>
            <w:tcW w:w="1220" w:type="dxa"/>
          </w:tcPr>
          <w:p w:rsidR="006559DF" w:rsidRPr="00661B15" w:rsidRDefault="006559DF" w:rsidP="003C7AEF">
            <w:pPr>
              <w:pStyle w:val="ListParagraph"/>
              <w:ind w:left="0"/>
              <w:contextualSpacing w:val="0"/>
              <w:jc w:val="center"/>
              <w:rPr>
                <w:b/>
              </w:rPr>
            </w:pPr>
            <w:r>
              <w:rPr>
                <w:rFonts w:eastAsia="MS Mincho" w:hint="eastAsia"/>
                <w:b/>
                <w:lang w:eastAsia="ja-JP"/>
              </w:rPr>
              <w:t>Band 4 (GHz)</w:t>
            </w:r>
          </w:p>
        </w:tc>
      </w:tr>
      <w:tr w:rsidR="006559DF" w:rsidTr="003C7AEF">
        <w:tc>
          <w:tcPr>
            <w:tcW w:w="1180" w:type="dxa"/>
          </w:tcPr>
          <w:p w:rsidR="006559DF" w:rsidRDefault="006559DF" w:rsidP="00C52070">
            <w:pPr>
              <w:pStyle w:val="ListParagraph"/>
              <w:ind w:left="0"/>
              <w:contextualSpacing w:val="0"/>
            </w:pPr>
            <w:r>
              <w:t>A</w:t>
            </w:r>
            <w:r w:rsidR="00C52070">
              <w:rPr>
                <w:vertAlign w:val="superscript"/>
              </w:rPr>
              <w:t>*</w:t>
            </w:r>
          </w:p>
        </w:tc>
        <w:tc>
          <w:tcPr>
            <w:tcW w:w="2348" w:type="dxa"/>
          </w:tcPr>
          <w:p w:rsidR="006559DF" w:rsidRPr="00A83EA8" w:rsidRDefault="006559DF" w:rsidP="003C7AEF">
            <w:pPr>
              <w:pStyle w:val="ListParagraph"/>
              <w:ind w:left="0"/>
              <w:contextualSpacing w:val="0"/>
              <w:rPr>
                <w:rFonts w:eastAsia="MS Mincho"/>
                <w:lang w:eastAsia="ja-JP"/>
              </w:rPr>
            </w:pPr>
            <w:r>
              <w:t>No change</w:t>
            </w:r>
          </w:p>
        </w:tc>
        <w:tc>
          <w:tcPr>
            <w:tcW w:w="1620" w:type="dxa"/>
          </w:tcPr>
          <w:p w:rsidR="006559DF" w:rsidRPr="004E4CA7" w:rsidRDefault="006559DF" w:rsidP="003C7AEF">
            <w:pPr>
              <w:pStyle w:val="ListParagraph"/>
              <w:ind w:left="0"/>
              <w:contextualSpacing w:val="0"/>
              <w:jc w:val="center"/>
              <w:rPr>
                <w:rFonts w:eastAsia="MS Mincho"/>
                <w:lang w:eastAsia="ja-JP"/>
              </w:rPr>
            </w:pPr>
            <w:r>
              <w:rPr>
                <w:rFonts w:eastAsia="MS Mincho" w:hint="eastAsia"/>
                <w:lang w:eastAsia="ja-JP"/>
              </w:rPr>
              <w:t>-</w:t>
            </w:r>
          </w:p>
        </w:tc>
        <w:tc>
          <w:tcPr>
            <w:tcW w:w="1219" w:type="dxa"/>
          </w:tcPr>
          <w:p w:rsidR="006559DF" w:rsidRPr="004E4CA7" w:rsidRDefault="006559DF" w:rsidP="003C7AEF">
            <w:pPr>
              <w:pStyle w:val="ListParagraph"/>
              <w:ind w:left="0"/>
              <w:contextualSpacing w:val="0"/>
              <w:jc w:val="center"/>
              <w:rPr>
                <w:rFonts w:eastAsia="MS Mincho"/>
                <w:lang w:eastAsia="ja-JP"/>
              </w:rPr>
            </w:pPr>
            <w:r>
              <w:rPr>
                <w:rFonts w:eastAsia="MS Mincho" w:hint="eastAsia"/>
                <w:lang w:eastAsia="ja-JP"/>
              </w:rPr>
              <w:t>-</w:t>
            </w:r>
          </w:p>
        </w:tc>
        <w:tc>
          <w:tcPr>
            <w:tcW w:w="1220" w:type="dxa"/>
          </w:tcPr>
          <w:p w:rsidR="006559DF" w:rsidRPr="004E4CA7" w:rsidRDefault="006559DF" w:rsidP="003C7AEF">
            <w:pPr>
              <w:pStyle w:val="ListParagraph"/>
              <w:ind w:left="0"/>
              <w:contextualSpacing w:val="0"/>
              <w:jc w:val="center"/>
              <w:rPr>
                <w:rFonts w:eastAsia="MS Mincho"/>
                <w:lang w:eastAsia="ja-JP"/>
              </w:rPr>
            </w:pPr>
            <w:r>
              <w:rPr>
                <w:rFonts w:eastAsia="MS Mincho" w:hint="eastAsia"/>
                <w:lang w:eastAsia="ja-JP"/>
              </w:rPr>
              <w:t>-</w:t>
            </w:r>
          </w:p>
        </w:tc>
        <w:tc>
          <w:tcPr>
            <w:tcW w:w="1219" w:type="dxa"/>
          </w:tcPr>
          <w:p w:rsidR="006559DF" w:rsidRPr="004E4CA7" w:rsidRDefault="006559DF" w:rsidP="003C7AEF">
            <w:pPr>
              <w:pStyle w:val="ListParagraph"/>
              <w:ind w:left="0"/>
              <w:contextualSpacing w:val="0"/>
              <w:jc w:val="center"/>
              <w:rPr>
                <w:rFonts w:eastAsia="MS Mincho"/>
                <w:lang w:eastAsia="ja-JP"/>
              </w:rPr>
            </w:pPr>
            <w:r>
              <w:rPr>
                <w:rFonts w:eastAsia="MS Mincho" w:hint="eastAsia"/>
                <w:lang w:eastAsia="ja-JP"/>
              </w:rPr>
              <w:t>-</w:t>
            </w:r>
          </w:p>
        </w:tc>
        <w:tc>
          <w:tcPr>
            <w:tcW w:w="1220" w:type="dxa"/>
          </w:tcPr>
          <w:p w:rsidR="006559DF" w:rsidRPr="004E4CA7" w:rsidRDefault="006559DF" w:rsidP="003C7AEF">
            <w:pPr>
              <w:pStyle w:val="ListParagraph"/>
              <w:ind w:left="0"/>
              <w:contextualSpacing w:val="0"/>
              <w:jc w:val="center"/>
              <w:rPr>
                <w:rFonts w:eastAsia="MS Mincho"/>
                <w:lang w:eastAsia="ja-JP"/>
              </w:rPr>
            </w:pPr>
            <w:r>
              <w:rPr>
                <w:rFonts w:eastAsia="MS Mincho" w:hint="eastAsia"/>
                <w:lang w:eastAsia="ja-JP"/>
              </w:rPr>
              <w:t>-</w:t>
            </w:r>
          </w:p>
        </w:tc>
      </w:tr>
      <w:tr w:rsidR="006559DF" w:rsidTr="003C7AEF">
        <w:tc>
          <w:tcPr>
            <w:tcW w:w="1180" w:type="dxa"/>
          </w:tcPr>
          <w:p w:rsidR="006559DF" w:rsidRDefault="006559DF" w:rsidP="00C52070">
            <w:pPr>
              <w:pStyle w:val="ListParagraph"/>
              <w:ind w:left="0"/>
              <w:contextualSpacing w:val="0"/>
            </w:pPr>
            <w:r>
              <w:t>B</w:t>
            </w:r>
            <w:r w:rsidR="00C52070">
              <w:rPr>
                <w:vertAlign w:val="superscript"/>
              </w:rPr>
              <w:t>*</w:t>
            </w:r>
          </w:p>
        </w:tc>
        <w:tc>
          <w:tcPr>
            <w:tcW w:w="2348" w:type="dxa"/>
          </w:tcPr>
          <w:p w:rsidR="006559DF" w:rsidRDefault="006559DF" w:rsidP="003C7AEF">
            <w:pPr>
              <w:pStyle w:val="ListParagraph"/>
              <w:ind w:left="0"/>
              <w:contextualSpacing w:val="0"/>
            </w:pPr>
            <w:r>
              <w:t>Modify RR</w:t>
            </w:r>
          </w:p>
        </w:tc>
        <w:tc>
          <w:tcPr>
            <w:tcW w:w="1620" w:type="dxa"/>
          </w:tcPr>
          <w:p w:rsidR="006559DF" w:rsidRPr="007F0D19" w:rsidRDefault="006559DF" w:rsidP="003C7AEF">
            <w:pPr>
              <w:pStyle w:val="ListParagraph"/>
              <w:ind w:left="0"/>
              <w:contextualSpacing w:val="0"/>
              <w:rPr>
                <w:rFonts w:eastAsia="MS Mincho"/>
                <w:lang w:eastAsia="ja-JP"/>
              </w:rPr>
            </w:pPr>
            <w:r>
              <w:t>FS &amp; LMS</w:t>
            </w:r>
          </w:p>
        </w:tc>
        <w:tc>
          <w:tcPr>
            <w:tcW w:w="1219" w:type="dxa"/>
          </w:tcPr>
          <w:p w:rsidR="006559DF" w:rsidRPr="007F0D19" w:rsidRDefault="006559DF" w:rsidP="003C7AEF">
            <w:pPr>
              <w:pStyle w:val="ListParagraph"/>
              <w:ind w:left="0"/>
              <w:contextualSpacing w:val="0"/>
              <w:jc w:val="center"/>
              <w:rPr>
                <w:rFonts w:eastAsia="MS Mincho"/>
                <w:lang w:eastAsia="ja-JP"/>
              </w:rPr>
            </w:pPr>
            <w:r>
              <w:rPr>
                <w:rFonts w:eastAsia="MS Mincho" w:hint="eastAsia"/>
                <w:lang w:eastAsia="ja-JP"/>
              </w:rPr>
              <w:t>275-296</w:t>
            </w:r>
          </w:p>
        </w:tc>
        <w:tc>
          <w:tcPr>
            <w:tcW w:w="1220" w:type="dxa"/>
          </w:tcPr>
          <w:p w:rsidR="006559DF" w:rsidRPr="007F0D19" w:rsidRDefault="006559DF" w:rsidP="003C7AEF">
            <w:pPr>
              <w:pStyle w:val="ListParagraph"/>
              <w:ind w:left="0"/>
              <w:contextualSpacing w:val="0"/>
              <w:jc w:val="center"/>
              <w:rPr>
                <w:rFonts w:eastAsia="MS Mincho"/>
                <w:lang w:eastAsia="ja-JP"/>
              </w:rPr>
            </w:pPr>
            <w:r>
              <w:rPr>
                <w:rFonts w:eastAsia="MS Mincho" w:hint="eastAsia"/>
                <w:lang w:eastAsia="ja-JP"/>
              </w:rPr>
              <w:t>306-313</w:t>
            </w:r>
          </w:p>
        </w:tc>
        <w:tc>
          <w:tcPr>
            <w:tcW w:w="1219" w:type="dxa"/>
          </w:tcPr>
          <w:p w:rsidR="006559DF" w:rsidRPr="007F0D19" w:rsidRDefault="006559DF" w:rsidP="003C7AEF">
            <w:pPr>
              <w:pStyle w:val="ListParagraph"/>
              <w:ind w:left="0"/>
              <w:contextualSpacing w:val="0"/>
              <w:jc w:val="center"/>
              <w:rPr>
                <w:rFonts w:eastAsia="MS Mincho"/>
                <w:lang w:eastAsia="ja-JP"/>
              </w:rPr>
            </w:pPr>
            <w:r>
              <w:rPr>
                <w:rFonts w:eastAsia="MS Mincho" w:hint="eastAsia"/>
                <w:lang w:eastAsia="ja-JP"/>
              </w:rPr>
              <w:t>318-333</w:t>
            </w:r>
          </w:p>
        </w:tc>
        <w:tc>
          <w:tcPr>
            <w:tcW w:w="1220" w:type="dxa"/>
          </w:tcPr>
          <w:p w:rsidR="006559DF" w:rsidRPr="007F0D19" w:rsidRDefault="006559DF" w:rsidP="003C7AEF">
            <w:pPr>
              <w:pStyle w:val="ListParagraph"/>
              <w:ind w:left="0"/>
              <w:contextualSpacing w:val="0"/>
              <w:jc w:val="center"/>
              <w:rPr>
                <w:rFonts w:eastAsia="MS Mincho"/>
                <w:lang w:eastAsia="ja-JP"/>
              </w:rPr>
            </w:pPr>
            <w:r>
              <w:rPr>
                <w:rFonts w:eastAsia="MS Mincho" w:hint="eastAsia"/>
                <w:lang w:eastAsia="ja-JP"/>
              </w:rPr>
              <w:t>356-450</w:t>
            </w:r>
          </w:p>
        </w:tc>
      </w:tr>
      <w:tr w:rsidR="006559DF" w:rsidTr="003C7AEF">
        <w:tc>
          <w:tcPr>
            <w:tcW w:w="1180" w:type="dxa"/>
          </w:tcPr>
          <w:p w:rsidR="006559DF" w:rsidRDefault="006559DF" w:rsidP="000E579C">
            <w:pPr>
              <w:pStyle w:val="ListParagraph"/>
              <w:ind w:left="0"/>
              <w:contextualSpacing w:val="0"/>
            </w:pPr>
            <w:r>
              <w:t>C</w:t>
            </w:r>
            <w:r w:rsidR="000E579C">
              <w:rPr>
                <w:vertAlign w:val="superscript"/>
              </w:rPr>
              <w:t>*</w:t>
            </w:r>
          </w:p>
        </w:tc>
        <w:tc>
          <w:tcPr>
            <w:tcW w:w="2348" w:type="dxa"/>
          </w:tcPr>
          <w:p w:rsidR="006559DF" w:rsidRDefault="006559DF" w:rsidP="003C7AEF">
            <w:pPr>
              <w:pStyle w:val="ListParagraph"/>
              <w:ind w:left="0"/>
              <w:contextualSpacing w:val="0"/>
            </w:pPr>
            <w:r>
              <w:t>Modify RR</w:t>
            </w:r>
          </w:p>
        </w:tc>
        <w:tc>
          <w:tcPr>
            <w:tcW w:w="1620" w:type="dxa"/>
          </w:tcPr>
          <w:p w:rsidR="006559DF" w:rsidRPr="007F0D19" w:rsidRDefault="006559DF" w:rsidP="003C7AEF">
            <w:pPr>
              <w:pStyle w:val="ListParagraph"/>
              <w:ind w:left="0"/>
              <w:contextualSpacing w:val="0"/>
              <w:rPr>
                <w:rFonts w:eastAsia="MS Mincho"/>
                <w:lang w:eastAsia="ja-JP"/>
              </w:rPr>
            </w:pPr>
            <w:r>
              <w:t>FS &amp; LMS</w:t>
            </w:r>
          </w:p>
        </w:tc>
        <w:tc>
          <w:tcPr>
            <w:tcW w:w="1219" w:type="dxa"/>
          </w:tcPr>
          <w:p w:rsidR="006559DF" w:rsidRPr="007F0D19" w:rsidRDefault="006559DF" w:rsidP="003C7AEF">
            <w:pPr>
              <w:pStyle w:val="ListParagraph"/>
              <w:ind w:left="0"/>
              <w:contextualSpacing w:val="0"/>
              <w:jc w:val="center"/>
              <w:rPr>
                <w:rFonts w:eastAsia="MS Mincho"/>
                <w:lang w:eastAsia="ja-JP"/>
              </w:rPr>
            </w:pPr>
            <w:r>
              <w:rPr>
                <w:rFonts w:eastAsia="MS Mincho" w:hint="eastAsia"/>
                <w:lang w:eastAsia="ja-JP"/>
              </w:rPr>
              <w:t>275-296</w:t>
            </w:r>
          </w:p>
        </w:tc>
        <w:tc>
          <w:tcPr>
            <w:tcW w:w="1220" w:type="dxa"/>
          </w:tcPr>
          <w:p w:rsidR="006559DF" w:rsidRDefault="006559DF" w:rsidP="003C7AEF">
            <w:pPr>
              <w:pStyle w:val="ListParagraph"/>
              <w:ind w:left="0"/>
              <w:contextualSpacing w:val="0"/>
              <w:jc w:val="center"/>
            </w:pPr>
            <w:r>
              <w:rPr>
                <w:rFonts w:eastAsia="MS Mincho" w:hint="eastAsia"/>
                <w:lang w:eastAsia="ja-JP"/>
              </w:rPr>
              <w:t>306-313</w:t>
            </w:r>
          </w:p>
        </w:tc>
        <w:tc>
          <w:tcPr>
            <w:tcW w:w="1219" w:type="dxa"/>
          </w:tcPr>
          <w:p w:rsidR="006559DF" w:rsidRDefault="006559DF" w:rsidP="003C7AEF">
            <w:pPr>
              <w:pStyle w:val="ListParagraph"/>
              <w:ind w:left="0"/>
              <w:contextualSpacing w:val="0"/>
              <w:jc w:val="center"/>
            </w:pPr>
            <w:r w:rsidRPr="0018250B">
              <w:rPr>
                <w:rFonts w:eastAsiaTheme="minorEastAsia"/>
                <w:lang w:eastAsia="ja-JP"/>
              </w:rPr>
              <w:t>320-330</w:t>
            </w:r>
          </w:p>
        </w:tc>
        <w:tc>
          <w:tcPr>
            <w:tcW w:w="1220" w:type="dxa"/>
          </w:tcPr>
          <w:p w:rsidR="006559DF" w:rsidRDefault="006559DF" w:rsidP="003C7AEF">
            <w:pPr>
              <w:pStyle w:val="ListParagraph"/>
              <w:ind w:left="0"/>
              <w:contextualSpacing w:val="0"/>
              <w:jc w:val="center"/>
            </w:pPr>
            <w:r w:rsidRPr="00873B23">
              <w:t>356-450</w:t>
            </w:r>
          </w:p>
        </w:tc>
      </w:tr>
      <w:tr w:rsidR="006559DF" w:rsidTr="003C7AEF">
        <w:tc>
          <w:tcPr>
            <w:tcW w:w="1180" w:type="dxa"/>
          </w:tcPr>
          <w:p w:rsidR="006559DF" w:rsidRDefault="006559DF">
            <w:pPr>
              <w:pStyle w:val="ListParagraph"/>
              <w:ind w:left="0"/>
              <w:contextualSpacing w:val="0"/>
            </w:pPr>
            <w:r>
              <w:t>D</w:t>
            </w:r>
            <w:r w:rsidR="001F0A3F">
              <w:rPr>
                <w:vertAlign w:val="superscript"/>
              </w:rPr>
              <w:t>*</w:t>
            </w:r>
          </w:p>
        </w:tc>
        <w:tc>
          <w:tcPr>
            <w:tcW w:w="2348" w:type="dxa"/>
          </w:tcPr>
          <w:p w:rsidR="006559DF" w:rsidRDefault="006559DF" w:rsidP="003C7AEF">
            <w:pPr>
              <w:pStyle w:val="ListParagraph"/>
              <w:ind w:left="0"/>
              <w:contextualSpacing w:val="0"/>
            </w:pPr>
            <w:r>
              <w:t>Add footnote 5A115</w:t>
            </w:r>
          </w:p>
        </w:tc>
        <w:tc>
          <w:tcPr>
            <w:tcW w:w="1620" w:type="dxa"/>
          </w:tcPr>
          <w:p w:rsidR="006559DF" w:rsidRPr="007F0D19" w:rsidRDefault="006559DF" w:rsidP="003C7AEF">
            <w:pPr>
              <w:pStyle w:val="ListParagraph"/>
              <w:ind w:left="0"/>
              <w:contextualSpacing w:val="0"/>
              <w:rPr>
                <w:rFonts w:eastAsia="MS Mincho"/>
              </w:rPr>
            </w:pPr>
            <w:r>
              <w:rPr>
                <w:rFonts w:eastAsiaTheme="minorEastAsia"/>
                <w:lang w:eastAsia="ja-JP"/>
              </w:rPr>
              <w:t>FS &amp; LMS</w:t>
            </w:r>
          </w:p>
        </w:tc>
        <w:tc>
          <w:tcPr>
            <w:tcW w:w="1219" w:type="dxa"/>
          </w:tcPr>
          <w:p w:rsidR="006559DF" w:rsidRPr="007F0D19" w:rsidRDefault="006559DF" w:rsidP="003C7AEF">
            <w:pPr>
              <w:pStyle w:val="ListParagraph"/>
              <w:ind w:left="0"/>
              <w:contextualSpacing w:val="0"/>
              <w:jc w:val="center"/>
              <w:rPr>
                <w:rFonts w:eastAsia="MS Mincho"/>
                <w:lang w:eastAsia="ja-JP"/>
              </w:rPr>
            </w:pPr>
            <w:r>
              <w:rPr>
                <w:rFonts w:eastAsia="MS Mincho" w:hint="eastAsia"/>
                <w:lang w:eastAsia="ja-JP"/>
              </w:rPr>
              <w:t>275-296</w:t>
            </w:r>
          </w:p>
        </w:tc>
        <w:tc>
          <w:tcPr>
            <w:tcW w:w="1220" w:type="dxa"/>
          </w:tcPr>
          <w:p w:rsidR="006559DF" w:rsidRDefault="006559DF" w:rsidP="003C7AEF">
            <w:pPr>
              <w:pStyle w:val="ListParagraph"/>
              <w:ind w:left="0"/>
              <w:contextualSpacing w:val="0"/>
              <w:jc w:val="center"/>
              <w:rPr>
                <w:rFonts w:eastAsiaTheme="minorEastAsia"/>
                <w:lang w:eastAsia="ja-JP"/>
              </w:rPr>
            </w:pPr>
            <w:r>
              <w:rPr>
                <w:rFonts w:eastAsia="MS Mincho" w:hint="eastAsia"/>
                <w:lang w:eastAsia="ja-JP"/>
              </w:rPr>
              <w:t>306-313</w:t>
            </w:r>
          </w:p>
        </w:tc>
        <w:tc>
          <w:tcPr>
            <w:tcW w:w="1219" w:type="dxa"/>
          </w:tcPr>
          <w:p w:rsidR="006559DF" w:rsidRDefault="006559DF" w:rsidP="003C7AEF">
            <w:pPr>
              <w:pStyle w:val="ListParagraph"/>
              <w:ind w:left="0"/>
              <w:contextualSpacing w:val="0"/>
              <w:jc w:val="center"/>
              <w:rPr>
                <w:rFonts w:eastAsiaTheme="minorEastAsia"/>
                <w:lang w:eastAsia="ja-JP"/>
              </w:rPr>
            </w:pPr>
            <w:r w:rsidRPr="00D07415">
              <w:rPr>
                <w:rFonts w:eastAsiaTheme="minorEastAsia"/>
                <w:lang w:eastAsia="ja-JP"/>
              </w:rPr>
              <w:t>320-330</w:t>
            </w:r>
          </w:p>
        </w:tc>
        <w:tc>
          <w:tcPr>
            <w:tcW w:w="1220" w:type="dxa"/>
          </w:tcPr>
          <w:p w:rsidR="006559DF" w:rsidRDefault="006559DF" w:rsidP="003C7AEF">
            <w:pPr>
              <w:pStyle w:val="ListParagraph"/>
              <w:ind w:left="0"/>
              <w:contextualSpacing w:val="0"/>
              <w:jc w:val="center"/>
              <w:rPr>
                <w:rFonts w:eastAsiaTheme="minorEastAsia"/>
                <w:lang w:eastAsia="ja-JP"/>
              </w:rPr>
            </w:pPr>
            <w:r w:rsidRPr="00873B23">
              <w:t>356-450</w:t>
            </w:r>
          </w:p>
        </w:tc>
      </w:tr>
      <w:tr w:rsidR="006559DF" w:rsidTr="003C7AEF">
        <w:tc>
          <w:tcPr>
            <w:tcW w:w="1180" w:type="dxa"/>
          </w:tcPr>
          <w:p w:rsidR="006559DF" w:rsidRDefault="006559DF" w:rsidP="00C52070">
            <w:pPr>
              <w:pStyle w:val="ListParagraph"/>
              <w:ind w:left="0"/>
              <w:contextualSpacing w:val="0"/>
            </w:pPr>
            <w:r>
              <w:t>E</w:t>
            </w:r>
            <w:r w:rsidR="00C52070">
              <w:rPr>
                <w:vertAlign w:val="superscript"/>
              </w:rPr>
              <w:t>*</w:t>
            </w:r>
          </w:p>
        </w:tc>
        <w:tc>
          <w:tcPr>
            <w:tcW w:w="2348" w:type="dxa"/>
          </w:tcPr>
          <w:p w:rsidR="006559DF" w:rsidRDefault="006559DF" w:rsidP="003C7AEF">
            <w:pPr>
              <w:pStyle w:val="ListParagraph"/>
              <w:ind w:left="0"/>
              <w:contextualSpacing w:val="0"/>
              <w:rPr>
                <w:rFonts w:eastAsia="MS Mincho"/>
                <w:lang w:eastAsia="ja-JP"/>
              </w:rPr>
            </w:pPr>
            <w:r>
              <w:t xml:space="preserve">Modify RR </w:t>
            </w:r>
            <w:r w:rsidR="00243751">
              <w:rPr>
                <w:rFonts w:eastAsia="MS Mincho"/>
                <w:lang w:eastAsia="ja-JP"/>
              </w:rPr>
              <w:t>and</w:t>
            </w:r>
          </w:p>
          <w:p w:rsidR="006559DF" w:rsidRDefault="006559DF" w:rsidP="009E64CA">
            <w:pPr>
              <w:pStyle w:val="ListParagraph"/>
              <w:ind w:left="0"/>
              <w:contextualSpacing w:val="0"/>
            </w:pPr>
            <w:r>
              <w:t xml:space="preserve">Add </w:t>
            </w:r>
            <w:r w:rsidRPr="007243D0">
              <w:t>footnote 5</w:t>
            </w:r>
            <w:r w:rsidR="009E64CA" w:rsidRPr="007243D0">
              <w:t>B</w:t>
            </w:r>
            <w:r w:rsidRPr="007243D0">
              <w:t>115</w:t>
            </w:r>
          </w:p>
        </w:tc>
        <w:tc>
          <w:tcPr>
            <w:tcW w:w="1620" w:type="dxa"/>
          </w:tcPr>
          <w:p w:rsidR="006559DF" w:rsidRDefault="006559DF" w:rsidP="003C7AEF">
            <w:pPr>
              <w:pStyle w:val="ListParagraph"/>
              <w:ind w:left="0"/>
              <w:contextualSpacing w:val="0"/>
            </w:pPr>
            <w:r>
              <w:t>FS &amp; LMS</w:t>
            </w:r>
          </w:p>
        </w:tc>
        <w:tc>
          <w:tcPr>
            <w:tcW w:w="1219" w:type="dxa"/>
          </w:tcPr>
          <w:p w:rsidR="006559DF" w:rsidRPr="007F0D19" w:rsidRDefault="006559DF" w:rsidP="003C7AEF">
            <w:pPr>
              <w:pStyle w:val="ListParagraph"/>
              <w:ind w:left="0"/>
              <w:contextualSpacing w:val="0"/>
              <w:jc w:val="center"/>
              <w:rPr>
                <w:rFonts w:eastAsia="MS Mincho"/>
                <w:lang w:eastAsia="ja-JP"/>
              </w:rPr>
            </w:pPr>
            <w:r>
              <w:rPr>
                <w:rFonts w:eastAsia="MS Mincho" w:hint="eastAsia"/>
                <w:lang w:eastAsia="ja-JP"/>
              </w:rPr>
              <w:t>275-296</w:t>
            </w:r>
          </w:p>
        </w:tc>
        <w:tc>
          <w:tcPr>
            <w:tcW w:w="1220" w:type="dxa"/>
          </w:tcPr>
          <w:p w:rsidR="006559DF" w:rsidRDefault="006559DF" w:rsidP="003C7AEF">
            <w:pPr>
              <w:pStyle w:val="ListParagraph"/>
              <w:ind w:left="0"/>
              <w:contextualSpacing w:val="0"/>
              <w:jc w:val="center"/>
            </w:pPr>
            <w:r>
              <w:rPr>
                <w:rFonts w:eastAsia="MS Mincho" w:hint="eastAsia"/>
                <w:lang w:eastAsia="ja-JP"/>
              </w:rPr>
              <w:t>306-313</w:t>
            </w:r>
          </w:p>
        </w:tc>
        <w:tc>
          <w:tcPr>
            <w:tcW w:w="1219" w:type="dxa"/>
          </w:tcPr>
          <w:p w:rsidR="006559DF" w:rsidRDefault="006559DF" w:rsidP="003C7AEF">
            <w:pPr>
              <w:pStyle w:val="ListParagraph"/>
              <w:ind w:left="0"/>
              <w:contextualSpacing w:val="0"/>
              <w:jc w:val="center"/>
            </w:pPr>
            <w:r w:rsidRPr="00873B23">
              <w:t>318-333</w:t>
            </w:r>
          </w:p>
        </w:tc>
        <w:tc>
          <w:tcPr>
            <w:tcW w:w="1220" w:type="dxa"/>
          </w:tcPr>
          <w:p w:rsidR="006559DF" w:rsidRDefault="006559DF" w:rsidP="003C7AEF">
            <w:pPr>
              <w:pStyle w:val="ListParagraph"/>
              <w:ind w:left="0"/>
              <w:contextualSpacing w:val="0"/>
              <w:jc w:val="center"/>
            </w:pPr>
            <w:r w:rsidRPr="00873B23">
              <w:t>356-450</w:t>
            </w:r>
          </w:p>
        </w:tc>
      </w:tr>
      <w:tr w:rsidR="006559DF" w:rsidTr="003C7AEF">
        <w:tc>
          <w:tcPr>
            <w:tcW w:w="1180" w:type="dxa"/>
            <w:vMerge w:val="restart"/>
          </w:tcPr>
          <w:p w:rsidR="006559DF" w:rsidRPr="00953887" w:rsidRDefault="006559DF" w:rsidP="003C7AEF">
            <w:pPr>
              <w:pStyle w:val="ListParagraph"/>
              <w:ind w:left="0"/>
              <w:contextualSpacing w:val="0"/>
            </w:pPr>
            <w:r w:rsidRPr="00953887">
              <w:t>F</w:t>
            </w:r>
          </w:p>
        </w:tc>
        <w:tc>
          <w:tcPr>
            <w:tcW w:w="2348" w:type="dxa"/>
            <w:vMerge w:val="restart"/>
          </w:tcPr>
          <w:p w:rsidR="006559DF" w:rsidRPr="00953887" w:rsidRDefault="006559DF" w:rsidP="009E64CA">
            <w:pPr>
              <w:pStyle w:val="ListParagraph"/>
              <w:ind w:left="0"/>
              <w:contextualSpacing w:val="0"/>
            </w:pPr>
            <w:r w:rsidRPr="00953887">
              <w:t>Add footnote 5</w:t>
            </w:r>
            <w:r w:rsidR="009E64CA" w:rsidRPr="00953887">
              <w:t>C</w:t>
            </w:r>
            <w:r w:rsidRPr="00953887">
              <w:t>115</w:t>
            </w:r>
          </w:p>
        </w:tc>
        <w:tc>
          <w:tcPr>
            <w:tcW w:w="1620" w:type="dxa"/>
          </w:tcPr>
          <w:p w:rsidR="006559DF" w:rsidRPr="00953887" w:rsidRDefault="006559DF" w:rsidP="003C7AEF">
            <w:pPr>
              <w:pStyle w:val="ListParagraph"/>
              <w:ind w:left="0"/>
              <w:contextualSpacing w:val="0"/>
            </w:pPr>
            <w:r w:rsidRPr="00953887">
              <w:rPr>
                <w:rFonts w:eastAsiaTheme="minorEastAsia"/>
                <w:lang w:eastAsia="ja-JP"/>
              </w:rPr>
              <w:t xml:space="preserve">FS </w:t>
            </w:r>
          </w:p>
        </w:tc>
        <w:tc>
          <w:tcPr>
            <w:tcW w:w="1219" w:type="dxa"/>
          </w:tcPr>
          <w:p w:rsidR="006559DF" w:rsidRPr="00953887" w:rsidRDefault="006559DF" w:rsidP="003C7AEF">
            <w:pPr>
              <w:pStyle w:val="ListParagraph"/>
              <w:ind w:left="0"/>
              <w:contextualSpacing w:val="0"/>
              <w:jc w:val="center"/>
              <w:rPr>
                <w:rFonts w:eastAsia="MS Mincho"/>
                <w:lang w:eastAsia="ja-JP"/>
              </w:rPr>
            </w:pPr>
            <w:r w:rsidRPr="00953887">
              <w:rPr>
                <w:rFonts w:eastAsia="MS Mincho"/>
                <w:lang w:eastAsia="ja-JP"/>
              </w:rPr>
              <w:t>275-296</w:t>
            </w:r>
          </w:p>
        </w:tc>
        <w:tc>
          <w:tcPr>
            <w:tcW w:w="1220" w:type="dxa"/>
          </w:tcPr>
          <w:p w:rsidR="006559DF" w:rsidRPr="00953887" w:rsidRDefault="006559DF" w:rsidP="003C7AEF">
            <w:pPr>
              <w:pStyle w:val="ListParagraph"/>
              <w:ind w:left="0"/>
              <w:contextualSpacing w:val="0"/>
              <w:jc w:val="center"/>
              <w:rPr>
                <w:rFonts w:eastAsiaTheme="minorEastAsia"/>
                <w:lang w:eastAsia="ja-JP"/>
              </w:rPr>
            </w:pPr>
            <w:r w:rsidRPr="00953887">
              <w:rPr>
                <w:rFonts w:eastAsia="MS Mincho"/>
                <w:lang w:eastAsia="ja-JP"/>
              </w:rPr>
              <w:t>306-313</w:t>
            </w:r>
          </w:p>
        </w:tc>
        <w:tc>
          <w:tcPr>
            <w:tcW w:w="1219" w:type="dxa"/>
          </w:tcPr>
          <w:p w:rsidR="006559DF" w:rsidRPr="00953887" w:rsidRDefault="006559DF" w:rsidP="008068E7">
            <w:pPr>
              <w:pStyle w:val="ListParagraph"/>
              <w:ind w:left="0"/>
              <w:contextualSpacing w:val="0"/>
              <w:jc w:val="center"/>
              <w:rPr>
                <w:rFonts w:eastAsiaTheme="minorEastAsia"/>
                <w:lang w:eastAsia="ja-JP"/>
              </w:rPr>
            </w:pPr>
            <w:r w:rsidRPr="00953887">
              <w:rPr>
                <w:rFonts w:eastAsiaTheme="minorEastAsia"/>
                <w:lang w:eastAsia="ja-JP"/>
              </w:rPr>
              <w:t>31</w:t>
            </w:r>
            <w:r w:rsidR="008068E7" w:rsidRPr="00953887">
              <w:rPr>
                <w:rFonts w:eastAsiaTheme="minorEastAsia"/>
                <w:lang w:eastAsia="ja-JP"/>
              </w:rPr>
              <w:t>8</w:t>
            </w:r>
            <w:r w:rsidRPr="00953887">
              <w:rPr>
                <w:rFonts w:eastAsiaTheme="minorEastAsia"/>
                <w:lang w:eastAsia="ja-JP"/>
              </w:rPr>
              <w:t>-</w:t>
            </w:r>
            <w:r w:rsidR="008068E7" w:rsidRPr="00953887">
              <w:rPr>
                <w:rFonts w:eastAsiaTheme="minorEastAsia"/>
                <w:lang w:eastAsia="ja-JP"/>
              </w:rPr>
              <w:t>336</w:t>
            </w:r>
          </w:p>
        </w:tc>
        <w:tc>
          <w:tcPr>
            <w:tcW w:w="1220" w:type="dxa"/>
          </w:tcPr>
          <w:p w:rsidR="006559DF" w:rsidRPr="00953887" w:rsidRDefault="008068E7" w:rsidP="008068E7">
            <w:pPr>
              <w:pStyle w:val="ListParagraph"/>
              <w:ind w:left="0"/>
              <w:contextualSpacing w:val="0"/>
              <w:jc w:val="center"/>
              <w:rPr>
                <w:rFonts w:eastAsiaTheme="minorEastAsia"/>
                <w:lang w:eastAsia="ja-JP"/>
              </w:rPr>
            </w:pPr>
            <w:r w:rsidRPr="00953887">
              <w:rPr>
                <w:rFonts w:eastAsiaTheme="minorEastAsia"/>
                <w:lang w:eastAsia="ja-JP"/>
              </w:rPr>
              <w:t>348-450</w:t>
            </w:r>
          </w:p>
        </w:tc>
      </w:tr>
      <w:tr w:rsidR="00243751" w:rsidTr="00990A77">
        <w:tc>
          <w:tcPr>
            <w:tcW w:w="1180" w:type="dxa"/>
            <w:vMerge/>
          </w:tcPr>
          <w:p w:rsidR="00243751" w:rsidRPr="00953887" w:rsidRDefault="00243751" w:rsidP="003C7AEF">
            <w:pPr>
              <w:pStyle w:val="ListParagraph"/>
              <w:ind w:left="0"/>
              <w:contextualSpacing w:val="0"/>
            </w:pPr>
          </w:p>
        </w:tc>
        <w:tc>
          <w:tcPr>
            <w:tcW w:w="2348" w:type="dxa"/>
            <w:vMerge/>
          </w:tcPr>
          <w:p w:rsidR="00243751" w:rsidRPr="00953887" w:rsidRDefault="00243751" w:rsidP="003C7AEF">
            <w:pPr>
              <w:pStyle w:val="ListParagraph"/>
              <w:ind w:left="0"/>
              <w:contextualSpacing w:val="0"/>
            </w:pPr>
          </w:p>
        </w:tc>
        <w:tc>
          <w:tcPr>
            <w:tcW w:w="1620" w:type="dxa"/>
          </w:tcPr>
          <w:p w:rsidR="00243751" w:rsidRPr="00953887" w:rsidRDefault="00243751" w:rsidP="003C7AEF">
            <w:pPr>
              <w:pStyle w:val="ListParagraph"/>
              <w:ind w:left="0"/>
              <w:contextualSpacing w:val="0"/>
              <w:rPr>
                <w:rFonts w:eastAsia="MS Mincho"/>
                <w:lang w:eastAsia="ja-JP"/>
              </w:rPr>
            </w:pPr>
            <w:r w:rsidRPr="00953887">
              <w:rPr>
                <w:rFonts w:eastAsia="MS Mincho"/>
                <w:lang w:eastAsia="ja-JP"/>
              </w:rPr>
              <w:t>LMS</w:t>
            </w:r>
          </w:p>
        </w:tc>
        <w:tc>
          <w:tcPr>
            <w:tcW w:w="4878" w:type="dxa"/>
            <w:gridSpan w:val="4"/>
          </w:tcPr>
          <w:p w:rsidR="00243751" w:rsidRPr="00953887" w:rsidRDefault="00243751" w:rsidP="00C52070">
            <w:pPr>
              <w:pStyle w:val="ListParagraph"/>
              <w:ind w:left="0"/>
              <w:contextualSpacing w:val="0"/>
              <w:jc w:val="center"/>
              <w:rPr>
                <w:rFonts w:eastAsiaTheme="minorEastAsia"/>
                <w:lang w:eastAsia="ja-JP"/>
              </w:rPr>
            </w:pPr>
            <w:r w:rsidRPr="00953887">
              <w:rPr>
                <w:rFonts w:eastAsia="MS Mincho"/>
                <w:lang w:eastAsia="ja-JP"/>
              </w:rPr>
              <w:t>275-450</w:t>
            </w:r>
          </w:p>
        </w:tc>
      </w:tr>
      <w:tr w:rsidR="009E64CA" w:rsidRPr="009E64CA" w:rsidTr="003C7AEF">
        <w:tc>
          <w:tcPr>
            <w:tcW w:w="1180" w:type="dxa"/>
          </w:tcPr>
          <w:p w:rsidR="009E64CA" w:rsidRPr="00953887" w:rsidRDefault="009E64CA" w:rsidP="003C7AEF">
            <w:pPr>
              <w:pStyle w:val="ListParagraph"/>
              <w:ind w:left="0"/>
              <w:contextualSpacing w:val="0"/>
            </w:pPr>
            <w:r w:rsidRPr="00953887">
              <w:t>G</w:t>
            </w:r>
          </w:p>
        </w:tc>
        <w:tc>
          <w:tcPr>
            <w:tcW w:w="2348" w:type="dxa"/>
          </w:tcPr>
          <w:p w:rsidR="009E64CA" w:rsidRPr="00953887" w:rsidRDefault="009E64CA">
            <w:pPr>
              <w:pStyle w:val="ListParagraph"/>
              <w:ind w:left="0"/>
              <w:contextualSpacing w:val="0"/>
            </w:pPr>
            <w:r w:rsidRPr="00953887">
              <w:t>Add footnote 5D115</w:t>
            </w:r>
          </w:p>
        </w:tc>
        <w:tc>
          <w:tcPr>
            <w:tcW w:w="1620" w:type="dxa"/>
          </w:tcPr>
          <w:p w:rsidR="009E64CA" w:rsidRPr="00953887" w:rsidRDefault="009E64CA" w:rsidP="003C7AEF">
            <w:pPr>
              <w:pStyle w:val="ListParagraph"/>
              <w:ind w:left="0"/>
              <w:contextualSpacing w:val="0"/>
              <w:rPr>
                <w:rFonts w:eastAsiaTheme="minorEastAsia"/>
                <w:lang w:eastAsia="ja-JP"/>
              </w:rPr>
            </w:pPr>
            <w:r w:rsidRPr="00953887">
              <w:t>FS &amp; LMS</w:t>
            </w:r>
          </w:p>
        </w:tc>
        <w:tc>
          <w:tcPr>
            <w:tcW w:w="1219" w:type="dxa"/>
          </w:tcPr>
          <w:p w:rsidR="009E64CA" w:rsidRPr="00953887" w:rsidRDefault="009E64CA" w:rsidP="003C7AEF">
            <w:pPr>
              <w:pStyle w:val="ListParagraph"/>
              <w:ind w:left="0"/>
              <w:contextualSpacing w:val="0"/>
              <w:jc w:val="center"/>
              <w:rPr>
                <w:rFonts w:eastAsia="MS Mincho"/>
                <w:lang w:eastAsia="ja-JP"/>
              </w:rPr>
            </w:pPr>
            <w:r w:rsidRPr="00953887">
              <w:rPr>
                <w:rFonts w:eastAsia="MS Mincho"/>
                <w:lang w:eastAsia="ja-JP"/>
              </w:rPr>
              <w:t>275-296</w:t>
            </w:r>
          </w:p>
        </w:tc>
        <w:tc>
          <w:tcPr>
            <w:tcW w:w="1220" w:type="dxa"/>
          </w:tcPr>
          <w:p w:rsidR="009E64CA" w:rsidRPr="00953887" w:rsidRDefault="009E64CA" w:rsidP="003C7AEF">
            <w:pPr>
              <w:pStyle w:val="ListParagraph"/>
              <w:ind w:left="0"/>
              <w:contextualSpacing w:val="0"/>
              <w:jc w:val="center"/>
              <w:rPr>
                <w:rFonts w:eastAsiaTheme="minorEastAsia"/>
                <w:lang w:eastAsia="ja-JP"/>
              </w:rPr>
            </w:pPr>
            <w:r w:rsidRPr="00953887">
              <w:rPr>
                <w:rFonts w:eastAsia="MS Mincho"/>
                <w:lang w:eastAsia="ja-JP"/>
              </w:rPr>
              <w:t>306-313</w:t>
            </w:r>
          </w:p>
        </w:tc>
        <w:tc>
          <w:tcPr>
            <w:tcW w:w="1219" w:type="dxa"/>
          </w:tcPr>
          <w:p w:rsidR="009E64CA" w:rsidRPr="00953887" w:rsidRDefault="009E64CA" w:rsidP="009E64CA">
            <w:pPr>
              <w:pStyle w:val="ListParagraph"/>
              <w:ind w:left="0"/>
              <w:contextualSpacing w:val="0"/>
              <w:jc w:val="center"/>
              <w:rPr>
                <w:rFonts w:eastAsiaTheme="minorEastAsia"/>
                <w:lang w:eastAsia="ja-JP"/>
              </w:rPr>
            </w:pPr>
            <w:r w:rsidRPr="00953887">
              <w:rPr>
                <w:rFonts w:eastAsiaTheme="minorEastAsia"/>
                <w:lang w:eastAsia="ja-JP"/>
              </w:rPr>
              <w:t>320-330</w:t>
            </w:r>
          </w:p>
        </w:tc>
        <w:tc>
          <w:tcPr>
            <w:tcW w:w="1220" w:type="dxa"/>
          </w:tcPr>
          <w:p w:rsidR="009E64CA" w:rsidRPr="00953887" w:rsidRDefault="009E64CA" w:rsidP="003C7AEF">
            <w:pPr>
              <w:pStyle w:val="ListParagraph"/>
              <w:ind w:left="0"/>
              <w:contextualSpacing w:val="0"/>
              <w:jc w:val="center"/>
              <w:rPr>
                <w:rFonts w:eastAsiaTheme="minorEastAsia"/>
                <w:lang w:eastAsia="ja-JP"/>
              </w:rPr>
            </w:pPr>
            <w:r w:rsidRPr="00953887">
              <w:rPr>
                <w:rFonts w:eastAsiaTheme="minorEastAsia"/>
                <w:lang w:eastAsia="ja-JP"/>
              </w:rPr>
              <w:t>400-420</w:t>
            </w:r>
          </w:p>
        </w:tc>
      </w:tr>
    </w:tbl>
    <w:p w:rsidR="0027283D" w:rsidRPr="00953887" w:rsidRDefault="00BF4039" w:rsidP="00953887">
      <w:pPr>
        <w:spacing w:afterLines="50" w:after="120"/>
        <w:rPr>
          <w:lang w:val="en-NZ"/>
        </w:rPr>
      </w:pPr>
      <w:r>
        <w:rPr>
          <w:vertAlign w:val="superscript"/>
        </w:rPr>
        <w:t>*</w:t>
      </w:r>
      <w:r w:rsidR="00243751" w:rsidRPr="00953887">
        <w:rPr>
          <w:lang w:val="en-NZ"/>
        </w:rPr>
        <w:t xml:space="preserve"> </w:t>
      </w:r>
      <w:r w:rsidR="00C667B5">
        <w:rPr>
          <w:lang w:val="en-NZ"/>
        </w:rPr>
        <w:t>T</w:t>
      </w:r>
      <w:r w:rsidR="00243751">
        <w:rPr>
          <w:lang w:val="en-NZ"/>
        </w:rPr>
        <w:t>h</w:t>
      </w:r>
      <w:r w:rsidR="00351462">
        <w:rPr>
          <w:lang w:val="en-NZ"/>
        </w:rPr>
        <w:t>ese</w:t>
      </w:r>
      <w:r w:rsidR="00243751">
        <w:rPr>
          <w:lang w:val="en-NZ"/>
        </w:rPr>
        <w:t xml:space="preserve"> method</w:t>
      </w:r>
      <w:r w:rsidR="00351462">
        <w:rPr>
          <w:lang w:val="en-NZ"/>
        </w:rPr>
        <w:t>s are existing proposals in the current draft CPM report</w:t>
      </w:r>
    </w:p>
    <w:p w:rsidR="00806638" w:rsidRDefault="00806638" w:rsidP="00953887">
      <w:pPr>
        <w:pStyle w:val="ListParagraph"/>
        <w:numPr>
          <w:ilvl w:val="0"/>
          <w:numId w:val="11"/>
        </w:numPr>
        <w:spacing w:afterLines="50" w:after="120"/>
        <w:ind w:left="0" w:firstLine="0"/>
        <w:contextualSpacing w:val="0"/>
        <w:rPr>
          <w:b/>
          <w:lang w:val="en-NZ" w:eastAsia="ko-KR"/>
        </w:rPr>
      </w:pPr>
      <w:r w:rsidRPr="00C951EA">
        <w:rPr>
          <w:b/>
          <w:lang w:val="en-NZ" w:eastAsia="ko-KR"/>
        </w:rPr>
        <w:t>APT Preliminary Views</w:t>
      </w:r>
    </w:p>
    <w:p w:rsidR="0098119B" w:rsidRDefault="0098119B" w:rsidP="00953887">
      <w:pPr>
        <w:pStyle w:val="ListParagraph"/>
        <w:spacing w:afterLines="50" w:after="120"/>
        <w:ind w:left="0"/>
        <w:contextualSpacing w:val="0"/>
        <w:jc w:val="both"/>
      </w:pPr>
      <w:r w:rsidRPr="008022C6">
        <w:t>APT Members support the ITU-R studies to consider identification of frequency bands for use by the land</w:t>
      </w:r>
      <w:r w:rsidR="00A13D67">
        <w:t xml:space="preserve"> </w:t>
      </w:r>
      <w:r w:rsidRPr="008022C6">
        <w:t xml:space="preserve">mobile and fixed service applications operating in the frequency range 275-450 GHz, </w:t>
      </w:r>
      <w:r>
        <w:t xml:space="preserve">taking into account </w:t>
      </w:r>
      <w:r w:rsidR="00A00E09">
        <w:t xml:space="preserve">the </w:t>
      </w:r>
      <w:r>
        <w:t xml:space="preserve">most recent work conducted by WP 5A and WP 5C on a version of Reports ITU-R M.2417 and F.2416, respectively, </w:t>
      </w:r>
      <w:r w:rsidR="00A00E09">
        <w:t xml:space="preserve">as well as the spectrum needs, </w:t>
      </w:r>
      <w:r w:rsidRPr="008022C6">
        <w:t>provided that the protection of passive services identified in No.</w:t>
      </w:r>
      <w:r w:rsidR="00A13D67">
        <w:t xml:space="preserve"> </w:t>
      </w:r>
      <w:r w:rsidRPr="00A13D67">
        <w:rPr>
          <w:b/>
        </w:rPr>
        <w:t>5.565</w:t>
      </w:r>
      <w:r w:rsidRPr="008022C6">
        <w:t xml:space="preserve"> is ensured. If such identification is made, APT Members support </w:t>
      </w:r>
      <w:r>
        <w:t xml:space="preserve">revising </w:t>
      </w:r>
      <w:r w:rsidRPr="008022C6">
        <w:t xml:space="preserve">the </w:t>
      </w:r>
      <w:r>
        <w:t xml:space="preserve">existing footnote and/or </w:t>
      </w:r>
      <w:r w:rsidRPr="008022C6">
        <w:t>adding a new footnote to the relevant part of the Radio Regulations.</w:t>
      </w:r>
    </w:p>
    <w:p w:rsidR="006E65C2" w:rsidRDefault="005E4297" w:rsidP="00953887">
      <w:pPr>
        <w:pStyle w:val="ListParagraph"/>
        <w:spacing w:afterLines="50" w:after="120"/>
        <w:ind w:left="0"/>
        <w:contextualSpacing w:val="0"/>
        <w:jc w:val="both"/>
        <w:rPr>
          <w:b/>
          <w:lang w:val="en-NZ" w:eastAsia="ko-KR"/>
        </w:rPr>
      </w:pPr>
      <w:r>
        <w:rPr>
          <w:rFonts w:eastAsiaTheme="minorEastAsia"/>
          <w:lang w:val="en-NZ" w:eastAsia="ja-JP"/>
        </w:rPr>
        <w:t xml:space="preserve">APT </w:t>
      </w:r>
      <w:r w:rsidR="00A13D67">
        <w:rPr>
          <w:rFonts w:eastAsiaTheme="minorEastAsia"/>
          <w:lang w:val="en-NZ" w:eastAsia="ja-JP"/>
        </w:rPr>
        <w:t>M</w:t>
      </w:r>
      <w:r>
        <w:rPr>
          <w:rFonts w:eastAsiaTheme="minorEastAsia"/>
          <w:lang w:val="en-NZ" w:eastAsia="ja-JP"/>
        </w:rPr>
        <w:t>embers are also of the view that,</w:t>
      </w:r>
      <w:r>
        <w:rPr>
          <w:rFonts w:eastAsiaTheme="minorEastAsia"/>
          <w:lang w:eastAsia="zh-CN"/>
        </w:rPr>
        <w:t xml:space="preserve"> i</w:t>
      </w:r>
      <w:r>
        <w:t xml:space="preserve">n the bands identified for RAS in RR </w:t>
      </w:r>
      <w:r>
        <w:rPr>
          <w:bCs/>
        </w:rPr>
        <w:t>N</w:t>
      </w:r>
      <w:r>
        <w:t xml:space="preserve">o. </w:t>
      </w:r>
      <w:r w:rsidRPr="00A13D67">
        <w:rPr>
          <w:rStyle w:val="Artref"/>
          <w:b/>
          <w:bCs/>
        </w:rPr>
        <w:t>5.565</w:t>
      </w:r>
      <w:r>
        <w:t xml:space="preserve"> (</w:t>
      </w:r>
      <w:r>
        <w:rPr>
          <w:iCs/>
        </w:rPr>
        <w:t>275-323 GHz, 327-371 GHz, 388-424 GHz and 426</w:t>
      </w:r>
      <w:r>
        <w:rPr>
          <w:iCs/>
        </w:rPr>
        <w:noBreakHyphen/>
        <w:t>442 GHz</w:t>
      </w:r>
      <w:r>
        <w:t>), separation distances and</w:t>
      </w:r>
      <w:r>
        <w:rPr>
          <w:rFonts w:eastAsia="SimSun"/>
          <w:lang w:eastAsia="zh-CN"/>
        </w:rPr>
        <w:t>/</w:t>
      </w:r>
      <w:r>
        <w:t xml:space="preserve">or avoidance angles between RAS stations and FS </w:t>
      </w:r>
      <w:r w:rsidRPr="00A91579">
        <w:t xml:space="preserve">stations </w:t>
      </w:r>
      <w:r w:rsidRPr="00016855">
        <w:t>should be considered</w:t>
      </w:r>
      <w:r w:rsidRPr="00A91579">
        <w:t xml:space="preserve"> depending</w:t>
      </w:r>
      <w:r>
        <w:t xml:space="preserve"> on the deployment environment of FS stations.</w:t>
      </w:r>
    </w:p>
    <w:p w:rsidR="00806638" w:rsidRDefault="00806638" w:rsidP="00953887">
      <w:pPr>
        <w:pStyle w:val="ListParagraph"/>
        <w:numPr>
          <w:ilvl w:val="0"/>
          <w:numId w:val="11"/>
        </w:numPr>
        <w:spacing w:afterLines="50" w:after="120"/>
        <w:ind w:left="0" w:firstLine="0"/>
        <w:contextualSpacing w:val="0"/>
        <w:rPr>
          <w:b/>
          <w:lang w:val="en-NZ" w:eastAsia="ko-KR"/>
        </w:rPr>
      </w:pPr>
      <w:r w:rsidRPr="006B444D">
        <w:rPr>
          <w:b/>
          <w:lang w:val="en-NZ" w:eastAsia="ko-KR"/>
        </w:rPr>
        <w:t>Other Views from APT Members</w:t>
      </w:r>
    </w:p>
    <w:p w:rsidR="00995F2C" w:rsidRPr="00BE41FD" w:rsidRDefault="00995F2C" w:rsidP="00953887">
      <w:pPr>
        <w:spacing w:afterLines="50" w:after="120"/>
        <w:jc w:val="both"/>
      </w:pPr>
      <w:r w:rsidRPr="00BE41FD">
        <w:t>Some APT Members support possible identification of FS applications in all bands in the frequency range 275-450 GHz, except 296-306 GHz, 313-320 GHz and 33</w:t>
      </w:r>
      <w:r w:rsidRPr="00BE41FD">
        <w:rPr>
          <w:rFonts w:eastAsiaTheme="minorEastAsia" w:hint="eastAsia"/>
          <w:lang w:eastAsia="ja-JP"/>
        </w:rPr>
        <w:t>0</w:t>
      </w:r>
      <w:r w:rsidRPr="00BE41FD">
        <w:t>-356 GHz. Their view may change pending further studies in WP 1A.</w:t>
      </w:r>
    </w:p>
    <w:p w:rsidR="004E7C1E" w:rsidRPr="00BE41FD" w:rsidRDefault="00995F2C" w:rsidP="00953887">
      <w:pPr>
        <w:spacing w:afterLines="50" w:after="120"/>
        <w:jc w:val="both"/>
      </w:pPr>
      <w:r w:rsidRPr="00BE41FD">
        <w:lastRenderedPageBreak/>
        <w:t xml:space="preserve">Some APT Members do not support the identification of 296-306 GHz, 313-320 GHz and 330-356 GHz for the FS applications because the current outcomes of sharing and compatibility studies in </w:t>
      </w:r>
      <w:r w:rsidR="00A13D67">
        <w:t>ITU-</w:t>
      </w:r>
      <w:r w:rsidRPr="00BE41FD">
        <w:t>R WP</w:t>
      </w:r>
      <w:r w:rsidR="00A13D67">
        <w:t xml:space="preserve"> </w:t>
      </w:r>
      <w:r w:rsidRPr="00BE41FD">
        <w:t xml:space="preserve">1A shows infeasibility between FS application and EESS (passive). </w:t>
      </w:r>
    </w:p>
    <w:p w:rsidR="00995F2C" w:rsidRPr="00BE41FD" w:rsidRDefault="00995F2C" w:rsidP="00953887">
      <w:pPr>
        <w:spacing w:afterLines="50" w:after="120"/>
        <w:jc w:val="both"/>
      </w:pPr>
      <w:r w:rsidRPr="00BE41FD">
        <w:t>Some APT Members support possible identification of LMS applications in the entire band in the frequency range 275-450 GHz. Their view may change pending further studies in WP 1A.</w:t>
      </w:r>
    </w:p>
    <w:p w:rsidR="00995F2C" w:rsidRPr="00953887" w:rsidRDefault="00995F2C" w:rsidP="00953887">
      <w:pPr>
        <w:spacing w:afterLines="50" w:after="120"/>
        <w:jc w:val="both"/>
        <w:rPr>
          <w:rFonts w:eastAsia="MS Mincho"/>
          <w:lang w:eastAsia="ja-JP"/>
        </w:rPr>
      </w:pPr>
      <w:r w:rsidRPr="00BE41FD">
        <w:t>Some APT Members do not support identification of LMS</w:t>
      </w:r>
      <w:r w:rsidR="00B83FE6">
        <w:rPr>
          <w:rFonts w:eastAsia="MS Mincho" w:hint="eastAsia"/>
          <w:lang w:eastAsia="ja-JP"/>
        </w:rPr>
        <w:t>/FS</w:t>
      </w:r>
      <w:r w:rsidRPr="00BE41FD">
        <w:t xml:space="preserve"> applications in the frequency </w:t>
      </w:r>
      <w:r w:rsidR="00B83FE6">
        <w:rPr>
          <w:rFonts w:eastAsia="MS Mincho" w:hint="eastAsia"/>
          <w:lang w:eastAsia="ja-JP"/>
        </w:rPr>
        <w:t xml:space="preserve">bands within the frequency </w:t>
      </w:r>
      <w:r w:rsidRPr="00BE41FD">
        <w:t xml:space="preserve">range 275-450GHz </w:t>
      </w:r>
      <w:r w:rsidR="00B83FE6">
        <w:rPr>
          <w:rFonts w:eastAsia="MS Mincho" w:hint="eastAsia"/>
          <w:lang w:eastAsia="ja-JP"/>
        </w:rPr>
        <w:t xml:space="preserve">if the result of </w:t>
      </w:r>
      <w:r w:rsidRPr="00BE41FD">
        <w:t>sharing and compatibility studies between LMS</w:t>
      </w:r>
      <w:r w:rsidR="00B83FE6">
        <w:rPr>
          <w:rFonts w:eastAsia="MS Mincho" w:hint="eastAsia"/>
          <w:lang w:eastAsia="ja-JP"/>
        </w:rPr>
        <w:t>/FS</w:t>
      </w:r>
      <w:r w:rsidRPr="00BE41FD">
        <w:t xml:space="preserve"> application and passive services identified in </w:t>
      </w:r>
      <w:r w:rsidR="008D0058">
        <w:t xml:space="preserve">RR </w:t>
      </w:r>
      <w:r w:rsidRPr="00BE41FD">
        <w:t>No.</w:t>
      </w:r>
      <w:r w:rsidRPr="00BE41FD">
        <w:rPr>
          <w:b/>
        </w:rPr>
        <w:t>5.565</w:t>
      </w:r>
      <w:r w:rsidR="00B83FE6">
        <w:rPr>
          <w:rFonts w:eastAsia="MS Mincho" w:hint="eastAsia"/>
          <w:lang w:eastAsia="ja-JP"/>
        </w:rPr>
        <w:t xml:space="preserve"> indicates that sharing is not feasible.</w:t>
      </w:r>
    </w:p>
    <w:p w:rsidR="00995F2C" w:rsidRDefault="00995F2C" w:rsidP="00953887">
      <w:pPr>
        <w:spacing w:afterLines="50" w:after="120"/>
        <w:jc w:val="both"/>
        <w:rPr>
          <w:rFonts w:eastAsia="MS Mincho"/>
          <w:lang w:val="en-NZ" w:eastAsia="ja-JP"/>
        </w:rPr>
      </w:pPr>
      <w:r w:rsidRPr="00BE41FD">
        <w:t xml:space="preserve">Some APT </w:t>
      </w:r>
      <w:r w:rsidR="00953887">
        <w:t>M</w:t>
      </w:r>
      <w:r w:rsidRPr="00BE41FD">
        <w:t xml:space="preserve">embers support to </w:t>
      </w:r>
      <w:r w:rsidRPr="00BE41FD">
        <w:rPr>
          <w:rFonts w:eastAsiaTheme="minorEastAsia"/>
          <w:lang w:val="en-NZ" w:eastAsia="ja-JP"/>
        </w:rPr>
        <w:t>the work conducted by WP 5A and WP 5C on a revision of Reports ITU-R M.2417 and F.2416, respectively.</w:t>
      </w:r>
    </w:p>
    <w:p w:rsidR="00A91579" w:rsidRDefault="00A91579" w:rsidP="00953887">
      <w:pPr>
        <w:spacing w:afterLines="50" w:after="120"/>
        <w:jc w:val="both"/>
        <w:rPr>
          <w:rFonts w:eastAsia="MS Mincho"/>
          <w:lang w:eastAsia="ja-JP"/>
        </w:rPr>
      </w:pPr>
      <w:r>
        <w:rPr>
          <w:rFonts w:eastAsiaTheme="minorEastAsia"/>
          <w:lang w:val="en-NZ" w:eastAsia="ja-JP"/>
        </w:rPr>
        <w:t xml:space="preserve">Some APT </w:t>
      </w:r>
      <w:r w:rsidR="00953887">
        <w:rPr>
          <w:rFonts w:eastAsiaTheme="minorEastAsia"/>
          <w:lang w:val="en-NZ" w:eastAsia="ja-JP"/>
        </w:rPr>
        <w:t>M</w:t>
      </w:r>
      <w:r>
        <w:rPr>
          <w:rFonts w:eastAsiaTheme="minorEastAsia"/>
          <w:lang w:val="en-NZ" w:eastAsia="ja-JP"/>
        </w:rPr>
        <w:t xml:space="preserve">embers do </w:t>
      </w:r>
      <w:r>
        <w:rPr>
          <w:rFonts w:eastAsiaTheme="minorEastAsia"/>
          <w:lang w:eastAsia="zh-CN"/>
        </w:rPr>
        <w:t xml:space="preserve">not support the identification of 361-365 GHz to the FS/LMS at this stage. </w:t>
      </w:r>
      <w:r w:rsidRPr="00BE41FD">
        <w:t>Their view may change pending further studies in WP 1A.</w:t>
      </w:r>
    </w:p>
    <w:p w:rsidR="00A91579" w:rsidRDefault="00A91579" w:rsidP="00953887">
      <w:pPr>
        <w:pStyle w:val="ListParagraph"/>
        <w:spacing w:afterLines="50" w:after="120"/>
        <w:ind w:left="0"/>
        <w:contextualSpacing w:val="0"/>
        <w:jc w:val="both"/>
        <w:rPr>
          <w:rFonts w:eastAsia="MS Mincho"/>
          <w:bCs/>
          <w:lang w:eastAsia="ja-JP"/>
        </w:rPr>
      </w:pPr>
      <w:r>
        <w:rPr>
          <w:rFonts w:eastAsiaTheme="minorEastAsia"/>
          <w:lang w:val="en-NZ" w:eastAsia="ja-JP"/>
        </w:rPr>
        <w:t xml:space="preserve">Some APT </w:t>
      </w:r>
      <w:r w:rsidR="00953887">
        <w:rPr>
          <w:rFonts w:eastAsiaTheme="minorEastAsia"/>
          <w:lang w:val="en-NZ" w:eastAsia="ja-JP"/>
        </w:rPr>
        <w:t>M</w:t>
      </w:r>
      <w:r>
        <w:rPr>
          <w:rFonts w:eastAsiaTheme="minorEastAsia"/>
          <w:lang w:val="en-NZ" w:eastAsia="ja-JP"/>
        </w:rPr>
        <w:t>embers are of the view that i</w:t>
      </w:r>
      <w:r>
        <w:rPr>
          <w:rFonts w:eastAsiaTheme="minorEastAsia"/>
          <w:bCs/>
          <w:lang w:eastAsia="zh-CN"/>
        </w:rPr>
        <w:t>t</w:t>
      </w:r>
      <w:r w:rsidRPr="00A91579">
        <w:rPr>
          <w:rFonts w:eastAsiaTheme="minorEastAsia"/>
          <w:bCs/>
          <w:lang w:eastAsia="zh-CN"/>
        </w:rPr>
        <w:t xml:space="preserve"> is </w:t>
      </w:r>
      <w:r w:rsidRPr="00953887">
        <w:t>not necessary</w:t>
      </w:r>
      <w:r>
        <w:rPr>
          <w:bCs/>
        </w:rPr>
        <w:t xml:space="preserve"> to propose the whole </w:t>
      </w:r>
      <w:r>
        <w:rPr>
          <w:rFonts w:eastAsiaTheme="minorEastAsia"/>
          <w:bCs/>
          <w:lang w:eastAsia="zh-CN"/>
        </w:rPr>
        <w:t>94</w:t>
      </w:r>
      <w:r>
        <w:rPr>
          <w:bCs/>
        </w:rPr>
        <w:t xml:space="preserve"> GHz bandwidth</w:t>
      </w:r>
      <w:r>
        <w:rPr>
          <w:rFonts w:eastAsia="SimSun"/>
          <w:bCs/>
          <w:lang w:eastAsia="zh-CN"/>
        </w:rPr>
        <w:t xml:space="preserve"> of </w:t>
      </w:r>
      <w:r>
        <w:t>356-450 GHz</w:t>
      </w:r>
      <w:r>
        <w:rPr>
          <w:bCs/>
        </w:rPr>
        <w:t xml:space="preserve"> </w:t>
      </w:r>
      <w:r>
        <w:rPr>
          <w:rFonts w:eastAsiaTheme="minorEastAsia"/>
          <w:bCs/>
          <w:lang w:eastAsia="zh-CN"/>
        </w:rPr>
        <w:t>for identification for the FS/LMS applications, taking into account the spectrum needs summarized in ITU-R studies as contained in section 1/1.15/3 of the current version of draft CPM text.</w:t>
      </w:r>
    </w:p>
    <w:p w:rsidR="00BD6597" w:rsidRDefault="00BD6597" w:rsidP="00953887">
      <w:pPr>
        <w:pStyle w:val="ListParagraph"/>
        <w:spacing w:afterLines="50" w:after="120"/>
        <w:ind w:left="0"/>
        <w:contextualSpacing w:val="0"/>
        <w:jc w:val="both"/>
        <w:rPr>
          <w:rFonts w:eastAsia="MS Mincho"/>
          <w:lang w:val="en-NZ" w:eastAsia="ja-JP"/>
        </w:rPr>
      </w:pPr>
      <w:r>
        <w:rPr>
          <w:rFonts w:eastAsiaTheme="minorEastAsia"/>
          <w:lang w:val="en-NZ" w:eastAsia="ja-JP"/>
        </w:rPr>
        <w:t xml:space="preserve">Some APT </w:t>
      </w:r>
      <w:r w:rsidR="00953887">
        <w:rPr>
          <w:rFonts w:eastAsiaTheme="minorEastAsia"/>
          <w:lang w:val="en-NZ" w:eastAsia="ja-JP"/>
        </w:rPr>
        <w:t>M</w:t>
      </w:r>
      <w:r>
        <w:rPr>
          <w:rFonts w:eastAsiaTheme="minorEastAsia"/>
          <w:lang w:val="en-NZ" w:eastAsia="ja-JP"/>
        </w:rPr>
        <w:t>embers are of the view that</w:t>
      </w:r>
      <w:r>
        <w:rPr>
          <w:rFonts w:eastAsia="MS Mincho" w:hint="eastAsia"/>
          <w:lang w:val="en-NZ" w:eastAsia="ja-JP"/>
        </w:rPr>
        <w:t xml:space="preserve"> the term </w:t>
      </w:r>
      <w:r>
        <w:rPr>
          <w:rFonts w:eastAsia="MS Mincho"/>
          <w:lang w:val="en-NZ" w:eastAsia="ja-JP"/>
        </w:rPr>
        <w:t>“</w:t>
      </w:r>
      <w:r>
        <w:rPr>
          <w:rFonts w:eastAsia="MS Mincho" w:hint="eastAsia"/>
          <w:lang w:val="en-NZ" w:eastAsia="ja-JP"/>
        </w:rPr>
        <w:t>designated</w:t>
      </w:r>
      <w:r>
        <w:rPr>
          <w:rFonts w:eastAsia="MS Mincho"/>
          <w:lang w:val="en-NZ" w:eastAsia="ja-JP"/>
        </w:rPr>
        <w:t>”</w:t>
      </w:r>
      <w:r>
        <w:rPr>
          <w:rFonts w:eastAsia="MS Mincho" w:hint="eastAsia"/>
          <w:lang w:val="en-NZ" w:eastAsia="ja-JP"/>
        </w:rPr>
        <w:t xml:space="preserve"> is better replaced with the term </w:t>
      </w:r>
      <w:r>
        <w:rPr>
          <w:rFonts w:eastAsia="MS Mincho"/>
          <w:lang w:val="en-NZ" w:eastAsia="ja-JP"/>
        </w:rPr>
        <w:t>“</w:t>
      </w:r>
      <w:r>
        <w:rPr>
          <w:rFonts w:eastAsia="MS Mincho" w:hint="eastAsia"/>
          <w:lang w:val="en-NZ" w:eastAsia="ja-JP"/>
        </w:rPr>
        <w:t>identified</w:t>
      </w:r>
      <w:r>
        <w:rPr>
          <w:rFonts w:eastAsia="MS Mincho"/>
          <w:lang w:val="en-NZ" w:eastAsia="ja-JP"/>
        </w:rPr>
        <w:t>”</w:t>
      </w:r>
      <w:r>
        <w:rPr>
          <w:rFonts w:eastAsia="MS Mincho" w:hint="eastAsia"/>
          <w:lang w:val="en-NZ" w:eastAsia="ja-JP"/>
        </w:rPr>
        <w:t xml:space="preserve"> in Methods as it has been used in the existing RR</w:t>
      </w:r>
      <w:r w:rsidR="008D0058">
        <w:rPr>
          <w:rFonts w:eastAsia="MS Mincho"/>
          <w:lang w:val="en-NZ" w:eastAsia="ja-JP"/>
        </w:rPr>
        <w:t xml:space="preserve"> No.</w:t>
      </w:r>
      <w:r>
        <w:rPr>
          <w:rFonts w:eastAsia="MS Mincho" w:hint="eastAsia"/>
          <w:lang w:val="en-NZ" w:eastAsia="ja-JP"/>
        </w:rPr>
        <w:t xml:space="preserve"> </w:t>
      </w:r>
      <w:r w:rsidRPr="00953887">
        <w:rPr>
          <w:rFonts w:eastAsia="MS Mincho" w:hint="eastAsia"/>
          <w:b/>
          <w:lang w:val="en-NZ" w:eastAsia="ja-JP"/>
        </w:rPr>
        <w:t>5.565</w:t>
      </w:r>
      <w:r>
        <w:rPr>
          <w:rFonts w:eastAsia="MS Mincho" w:hint="eastAsia"/>
          <w:lang w:val="en-NZ" w:eastAsia="ja-JP"/>
        </w:rPr>
        <w:t>.</w:t>
      </w:r>
    </w:p>
    <w:p w:rsidR="00806638" w:rsidRDefault="00806638" w:rsidP="00953887">
      <w:pPr>
        <w:pStyle w:val="ListParagraph"/>
        <w:numPr>
          <w:ilvl w:val="0"/>
          <w:numId w:val="11"/>
        </w:numPr>
        <w:adjustRightInd w:val="0"/>
        <w:spacing w:afterLines="50" w:after="120"/>
        <w:ind w:left="0" w:firstLine="0"/>
        <w:contextualSpacing w:val="0"/>
        <w:rPr>
          <w:b/>
          <w:lang w:val="en-NZ" w:eastAsia="ko-KR"/>
        </w:rPr>
      </w:pPr>
      <w:r w:rsidRPr="006B444D">
        <w:rPr>
          <w:b/>
          <w:lang w:val="en-NZ" w:eastAsia="ko-KR"/>
        </w:rPr>
        <w:t>Issues for Consideration at next APG Meeting</w:t>
      </w:r>
    </w:p>
    <w:p w:rsidR="00D068D5" w:rsidRPr="00953887" w:rsidRDefault="00D068D5" w:rsidP="00953887">
      <w:pPr>
        <w:pStyle w:val="ListParagraph"/>
        <w:adjustRightInd w:val="0"/>
        <w:spacing w:afterLines="50" w:after="120"/>
        <w:ind w:left="0"/>
        <w:contextualSpacing w:val="0"/>
        <w:rPr>
          <w:lang w:val="en-NZ" w:eastAsia="ko-KR"/>
        </w:rPr>
      </w:pPr>
      <w:r w:rsidRPr="00953887">
        <w:rPr>
          <w:lang w:val="en-NZ" w:eastAsia="ko-KR"/>
        </w:rPr>
        <w:t>Differences in the Methods can be divided into two main categories:</w:t>
      </w:r>
    </w:p>
    <w:p w:rsidR="00D068D5" w:rsidRPr="00953887" w:rsidRDefault="00D068D5" w:rsidP="00953887">
      <w:pPr>
        <w:pStyle w:val="ListParagraph"/>
        <w:numPr>
          <w:ilvl w:val="0"/>
          <w:numId w:val="20"/>
        </w:numPr>
        <w:spacing w:afterLines="50" w:after="120"/>
        <w:contextualSpacing w:val="0"/>
        <w:jc w:val="both"/>
        <w:rPr>
          <w:lang w:val="en-NZ" w:eastAsia="ko-KR"/>
        </w:rPr>
      </w:pPr>
      <w:r w:rsidRPr="00953887">
        <w:rPr>
          <w:lang w:val="en-NZ" w:eastAsia="ko-KR"/>
        </w:rPr>
        <w:t>Modification of RR or addition of footnote or both</w:t>
      </w:r>
      <w:r w:rsidR="008B0D34">
        <w:rPr>
          <w:lang w:val="en-NZ" w:eastAsia="ko-KR"/>
        </w:rPr>
        <w:t>.</w:t>
      </w:r>
    </w:p>
    <w:p w:rsidR="00806638" w:rsidRPr="00953887" w:rsidRDefault="00D068D5" w:rsidP="00953887">
      <w:pPr>
        <w:pStyle w:val="ListParagraph"/>
        <w:numPr>
          <w:ilvl w:val="0"/>
          <w:numId w:val="20"/>
        </w:numPr>
        <w:spacing w:afterLines="50" w:after="120"/>
        <w:contextualSpacing w:val="0"/>
        <w:jc w:val="both"/>
        <w:rPr>
          <w:lang w:val="en-NZ" w:eastAsia="ko-KR"/>
        </w:rPr>
      </w:pPr>
      <w:r w:rsidRPr="00953887">
        <w:rPr>
          <w:lang w:val="en-NZ" w:eastAsia="ko-KR"/>
        </w:rPr>
        <w:t xml:space="preserve">Differences in </w:t>
      </w:r>
      <w:r w:rsidR="00FC771B" w:rsidRPr="00953887">
        <w:rPr>
          <w:lang w:val="en-NZ" w:eastAsia="ko-KR"/>
        </w:rPr>
        <w:t xml:space="preserve">frequency </w:t>
      </w:r>
      <w:r w:rsidR="00CA7E8B" w:rsidRPr="00953887">
        <w:rPr>
          <w:lang w:val="en-NZ" w:eastAsia="ko-KR"/>
        </w:rPr>
        <w:t>identification</w:t>
      </w:r>
      <w:r w:rsidR="00FC771B" w:rsidRPr="00953887">
        <w:rPr>
          <w:lang w:val="en-NZ" w:eastAsia="ko-KR"/>
        </w:rPr>
        <w:t xml:space="preserve">, particularly in Band 3 and Band 4 </w:t>
      </w:r>
      <w:r w:rsidRPr="00953887">
        <w:rPr>
          <w:lang w:val="en-NZ" w:eastAsia="ko-KR"/>
        </w:rPr>
        <w:t xml:space="preserve">(refer to </w:t>
      </w:r>
      <w:r w:rsidR="005838D0" w:rsidRPr="00953887">
        <w:rPr>
          <w:lang w:val="en-NZ" w:eastAsia="ko-KR"/>
        </w:rPr>
        <w:t>Table 2</w:t>
      </w:r>
      <w:r w:rsidRPr="00953887">
        <w:rPr>
          <w:lang w:val="en-NZ" w:eastAsia="ko-KR"/>
        </w:rPr>
        <w:t xml:space="preserve"> in Section 3.2)</w:t>
      </w:r>
      <w:r w:rsidR="008B0D34">
        <w:rPr>
          <w:lang w:val="en-NZ" w:eastAsia="ko-KR"/>
        </w:rPr>
        <w:t>.</w:t>
      </w:r>
    </w:p>
    <w:p w:rsidR="003C689B" w:rsidRPr="003C689B" w:rsidRDefault="00FC771B" w:rsidP="00953887">
      <w:pPr>
        <w:pStyle w:val="ListParagraph"/>
        <w:adjustRightInd w:val="0"/>
        <w:spacing w:afterLines="50" w:after="120"/>
        <w:ind w:left="0"/>
        <w:contextualSpacing w:val="0"/>
        <w:rPr>
          <w:lang w:val="en-NZ" w:eastAsia="ko-KR"/>
        </w:rPr>
      </w:pPr>
      <w:r w:rsidRPr="00953887">
        <w:rPr>
          <w:lang w:val="en-NZ" w:eastAsia="ko-KR"/>
        </w:rPr>
        <w:t>Members are encouraged to focus the discussions on harmonizing the two items above</w:t>
      </w:r>
      <w:r w:rsidR="0033185A">
        <w:rPr>
          <w:rFonts w:eastAsia="MS Mincho" w:hint="eastAsia"/>
          <w:lang w:val="en-NZ" w:eastAsia="ja-JP"/>
        </w:rPr>
        <w:t>, taking into account the outcome of CPM 19-2</w:t>
      </w:r>
      <w:r w:rsidRPr="00953887">
        <w:rPr>
          <w:lang w:val="en-NZ" w:eastAsia="ko-KR"/>
        </w:rPr>
        <w:t>.</w:t>
      </w:r>
    </w:p>
    <w:p w:rsidR="00806638" w:rsidRDefault="00806638" w:rsidP="00953887">
      <w:pPr>
        <w:pStyle w:val="ListParagraph"/>
        <w:numPr>
          <w:ilvl w:val="0"/>
          <w:numId w:val="11"/>
        </w:numPr>
        <w:adjustRightInd w:val="0"/>
        <w:spacing w:afterLines="50" w:after="120"/>
        <w:ind w:left="0" w:firstLine="0"/>
        <w:contextualSpacing w:val="0"/>
        <w:rPr>
          <w:b/>
          <w:lang w:val="en-NZ" w:eastAsia="ko-KR"/>
        </w:rPr>
      </w:pPr>
      <w:r w:rsidRPr="00C951EA">
        <w:rPr>
          <w:b/>
          <w:lang w:val="en-NZ"/>
        </w:rPr>
        <w:t>Views from Other Organisations</w:t>
      </w:r>
    </w:p>
    <w:p w:rsidR="00806638" w:rsidRDefault="00806638" w:rsidP="00953887">
      <w:pPr>
        <w:pStyle w:val="ListParagraph"/>
        <w:adjustRightInd w:val="0"/>
        <w:spacing w:afterLines="50" w:after="120"/>
        <w:ind w:left="0"/>
        <w:contextualSpacing w:val="0"/>
        <w:rPr>
          <w:b/>
          <w:lang w:val="en-NZ"/>
        </w:rPr>
      </w:pPr>
      <w:r>
        <w:rPr>
          <w:lang w:val="en-NZ" w:eastAsia="ko-KR"/>
        </w:rPr>
        <w:t>This section summarizes the v</w:t>
      </w:r>
      <w:r>
        <w:rPr>
          <w:lang w:val="en-NZ"/>
        </w:rPr>
        <w:t>iews/positions of other regional groups and international organisations.</w:t>
      </w:r>
    </w:p>
    <w:p w:rsidR="00953887" w:rsidRPr="00953887" w:rsidRDefault="00953887" w:rsidP="00953887">
      <w:pPr>
        <w:pStyle w:val="ListParagraph"/>
        <w:numPr>
          <w:ilvl w:val="1"/>
          <w:numId w:val="14"/>
        </w:numPr>
        <w:adjustRightInd w:val="0"/>
        <w:spacing w:afterLines="50" w:after="120"/>
        <w:ind w:left="0" w:firstLine="0"/>
        <w:contextualSpacing w:val="0"/>
        <w:rPr>
          <w:b/>
          <w:lang w:val="en-NZ" w:eastAsia="ko-KR"/>
        </w:rPr>
      </w:pPr>
      <w:r>
        <w:rPr>
          <w:rFonts w:eastAsiaTheme="minorEastAsia" w:hint="eastAsia"/>
          <w:b/>
          <w:lang w:val="en-NZ" w:eastAsia="zh-CN"/>
        </w:rPr>
        <w:t>R</w:t>
      </w:r>
      <w:r>
        <w:rPr>
          <w:rFonts w:eastAsiaTheme="minorEastAsia"/>
          <w:b/>
          <w:lang w:val="en-NZ" w:eastAsia="zh-CN"/>
        </w:rPr>
        <w:t>egional Groups</w:t>
      </w:r>
    </w:p>
    <w:p w:rsidR="00953887" w:rsidRDefault="00953887" w:rsidP="00953887">
      <w:pPr>
        <w:pStyle w:val="ListParagraph"/>
        <w:tabs>
          <w:tab w:val="left" w:pos="630"/>
        </w:tabs>
        <w:adjustRightInd w:val="0"/>
        <w:spacing w:afterLines="50" w:after="120"/>
        <w:ind w:left="0"/>
        <w:contextualSpacing w:val="0"/>
        <w:rPr>
          <w:b/>
          <w:lang w:val="en-NZ" w:eastAsia="ko-KR"/>
        </w:rPr>
      </w:pPr>
      <w:r>
        <w:rPr>
          <w:b/>
          <w:lang w:val="en-NZ" w:eastAsia="ko-KR"/>
        </w:rPr>
        <w:t xml:space="preserve">7.1.1 CITEL </w:t>
      </w:r>
      <w:r w:rsidRPr="006D6030">
        <w:rPr>
          <w:b/>
          <w:lang w:val="en-NZ" w:eastAsia="ko-KR"/>
        </w:rPr>
        <w:t>(</w:t>
      </w:r>
      <w:r w:rsidRPr="00442217">
        <w:rPr>
          <w:b/>
          <w:lang w:val="en-NZ"/>
        </w:rPr>
        <w:t>APG19-</w:t>
      </w:r>
      <w:r>
        <w:rPr>
          <w:b/>
          <w:lang w:val="en-NZ"/>
        </w:rPr>
        <w:t>4</w:t>
      </w:r>
      <w:r w:rsidRPr="00442217">
        <w:rPr>
          <w:b/>
          <w:lang w:val="en-NZ"/>
        </w:rPr>
        <w:t>/</w:t>
      </w:r>
      <w:r w:rsidRPr="006D6030">
        <w:rPr>
          <w:b/>
          <w:lang w:val="en-NZ" w:eastAsia="ko-KR"/>
        </w:rPr>
        <w:t>IN</w:t>
      </w:r>
      <w:r>
        <w:rPr>
          <w:b/>
          <w:lang w:val="en-NZ" w:eastAsia="ko-KR"/>
        </w:rPr>
        <w:t>F</w:t>
      </w:r>
      <w:r w:rsidRPr="006D6030">
        <w:rPr>
          <w:b/>
          <w:lang w:val="en-NZ" w:eastAsia="ko-KR"/>
        </w:rPr>
        <w:t>-</w:t>
      </w:r>
      <w:r>
        <w:rPr>
          <w:b/>
          <w:lang w:val="en-NZ" w:eastAsia="ko-KR"/>
        </w:rPr>
        <w:t>22)</w:t>
      </w:r>
    </w:p>
    <w:p w:rsidR="00953887" w:rsidRDefault="00953887" w:rsidP="00953887">
      <w:pPr>
        <w:pStyle w:val="ListParagraph"/>
        <w:tabs>
          <w:tab w:val="left" w:pos="630"/>
        </w:tabs>
        <w:adjustRightInd w:val="0"/>
        <w:spacing w:afterLines="50" w:after="120"/>
        <w:ind w:left="0"/>
        <w:contextualSpacing w:val="0"/>
        <w:jc w:val="both"/>
        <w:rPr>
          <w:rFonts w:eastAsia="Times New Roman"/>
          <w:kern w:val="2"/>
          <w:lang w:eastAsia="ar-SA"/>
        </w:rPr>
      </w:pPr>
      <w:r>
        <w:rPr>
          <w:rFonts w:eastAsia="Times New Roman"/>
          <w:kern w:val="2"/>
          <w:lang w:eastAsia="ar-SA"/>
        </w:rPr>
        <w:t>Different proposals based on Methods C and D are under consideration.</w:t>
      </w:r>
    </w:p>
    <w:p w:rsidR="00953887" w:rsidRDefault="00953887" w:rsidP="00953887">
      <w:pPr>
        <w:pStyle w:val="ListParagraph"/>
        <w:tabs>
          <w:tab w:val="left" w:pos="630"/>
        </w:tabs>
        <w:adjustRightInd w:val="0"/>
        <w:spacing w:afterLines="50" w:after="120"/>
        <w:ind w:left="0"/>
        <w:contextualSpacing w:val="0"/>
        <w:jc w:val="both"/>
        <w:rPr>
          <w:b/>
          <w:lang w:val="en-NZ" w:eastAsia="ko-KR"/>
        </w:rPr>
      </w:pPr>
      <w:r>
        <w:rPr>
          <w:b/>
          <w:lang w:val="en-NZ" w:eastAsia="ko-KR"/>
        </w:rPr>
        <w:t xml:space="preserve">7.1.2 CEPT </w:t>
      </w:r>
      <w:r w:rsidRPr="006D6030">
        <w:rPr>
          <w:b/>
          <w:lang w:val="en-NZ" w:eastAsia="ko-KR"/>
        </w:rPr>
        <w:t>(</w:t>
      </w:r>
      <w:r w:rsidRPr="00442217">
        <w:rPr>
          <w:b/>
          <w:lang w:val="en-NZ" w:eastAsia="ko-KR"/>
        </w:rPr>
        <w:t>APG19-</w:t>
      </w:r>
      <w:r>
        <w:rPr>
          <w:b/>
          <w:lang w:val="en-NZ" w:eastAsia="ko-KR"/>
        </w:rPr>
        <w:t>4</w:t>
      </w:r>
      <w:r w:rsidRPr="00442217">
        <w:rPr>
          <w:b/>
          <w:lang w:val="en-NZ" w:eastAsia="ko-KR"/>
        </w:rPr>
        <w:t>/</w:t>
      </w:r>
      <w:r w:rsidRPr="006D6030">
        <w:rPr>
          <w:b/>
          <w:lang w:val="en-NZ" w:eastAsia="ko-KR"/>
        </w:rPr>
        <w:t>IN</w:t>
      </w:r>
      <w:r>
        <w:rPr>
          <w:b/>
          <w:lang w:val="en-NZ" w:eastAsia="ko-KR"/>
        </w:rPr>
        <w:t>F</w:t>
      </w:r>
      <w:r w:rsidRPr="006D6030">
        <w:rPr>
          <w:b/>
          <w:lang w:val="en-NZ" w:eastAsia="ko-KR"/>
        </w:rPr>
        <w:t>-</w:t>
      </w:r>
      <w:r>
        <w:rPr>
          <w:b/>
          <w:lang w:val="en-NZ" w:eastAsia="ko-KR"/>
        </w:rPr>
        <w:t>23)</w:t>
      </w:r>
    </w:p>
    <w:p w:rsidR="00953887" w:rsidRDefault="00953887" w:rsidP="00953887">
      <w:pPr>
        <w:pStyle w:val="ListParagraph"/>
        <w:tabs>
          <w:tab w:val="left" w:pos="630"/>
        </w:tabs>
        <w:adjustRightInd w:val="0"/>
        <w:spacing w:afterLines="50" w:after="120"/>
        <w:ind w:left="0"/>
        <w:contextualSpacing w:val="0"/>
        <w:jc w:val="both"/>
        <w:rPr>
          <w:rFonts w:eastAsia="Times New Roman"/>
          <w:kern w:val="2"/>
          <w:lang w:eastAsia="ar-SA"/>
        </w:rPr>
      </w:pPr>
      <w:r w:rsidRPr="00A647E6">
        <w:rPr>
          <w:rFonts w:eastAsia="Times New Roman"/>
          <w:kern w:val="2"/>
          <w:lang w:eastAsia="ar-SA"/>
        </w:rPr>
        <w:t xml:space="preserve">CEPT supports the inclusion of a new footnote to Article </w:t>
      </w:r>
      <w:r w:rsidRPr="008D0058">
        <w:rPr>
          <w:rFonts w:eastAsia="Times New Roman"/>
          <w:b/>
          <w:kern w:val="2"/>
          <w:lang w:eastAsia="ar-SA"/>
        </w:rPr>
        <w:t>5</w:t>
      </w:r>
      <w:r w:rsidRPr="00A647E6">
        <w:rPr>
          <w:rFonts w:eastAsia="Times New Roman"/>
          <w:kern w:val="2"/>
          <w:lang w:eastAsia="ar-SA"/>
        </w:rPr>
        <w:t xml:space="preserve"> of the Radio Regulations identifying the following frequency bands for fixed and mobile service applications in the range 275-450 GHz while maintaining the protection of the passive services identified in </w:t>
      </w:r>
      <w:r w:rsidR="008D0058">
        <w:rPr>
          <w:rFonts w:eastAsia="Times New Roman"/>
          <w:kern w:val="2"/>
          <w:lang w:eastAsia="ar-SA"/>
        </w:rPr>
        <w:t xml:space="preserve">RR </w:t>
      </w:r>
      <w:r w:rsidRPr="00A647E6">
        <w:rPr>
          <w:rFonts w:eastAsia="Times New Roman"/>
          <w:kern w:val="2"/>
          <w:lang w:eastAsia="ar-SA"/>
        </w:rPr>
        <w:t xml:space="preserve">No. </w:t>
      </w:r>
      <w:r w:rsidRPr="00953887">
        <w:rPr>
          <w:rFonts w:eastAsia="Times New Roman"/>
          <w:b/>
          <w:kern w:val="2"/>
          <w:lang w:eastAsia="ar-SA"/>
        </w:rPr>
        <w:t>5.565</w:t>
      </w:r>
      <w:r w:rsidRPr="00A647E6">
        <w:rPr>
          <w:rFonts w:eastAsia="Times New Roman"/>
          <w:kern w:val="2"/>
          <w:lang w:eastAsia="ar-SA"/>
        </w:rPr>
        <w:t>:  275-296 GHz</w:t>
      </w:r>
      <w:r>
        <w:rPr>
          <w:rFonts w:eastAsia="Times New Roman"/>
          <w:kern w:val="2"/>
          <w:lang w:eastAsia="ar-SA"/>
        </w:rPr>
        <w:t xml:space="preserve">, </w:t>
      </w:r>
      <w:r w:rsidRPr="00A647E6">
        <w:rPr>
          <w:rFonts w:eastAsia="Times New Roman"/>
          <w:kern w:val="2"/>
          <w:lang w:eastAsia="ar-SA"/>
        </w:rPr>
        <w:t>306-313 GHz</w:t>
      </w:r>
      <w:r>
        <w:rPr>
          <w:rFonts w:eastAsia="Times New Roman"/>
          <w:kern w:val="2"/>
          <w:lang w:eastAsia="ar-SA"/>
        </w:rPr>
        <w:t xml:space="preserve">, </w:t>
      </w:r>
      <w:r w:rsidRPr="00A647E6">
        <w:rPr>
          <w:rFonts w:eastAsia="Times New Roman"/>
          <w:kern w:val="2"/>
          <w:lang w:eastAsia="ar-SA"/>
        </w:rPr>
        <w:t xml:space="preserve">318-333 GHz </w:t>
      </w:r>
      <w:r>
        <w:rPr>
          <w:rFonts w:eastAsia="Times New Roman"/>
          <w:kern w:val="2"/>
          <w:lang w:eastAsia="ar-SA"/>
        </w:rPr>
        <w:t xml:space="preserve">and </w:t>
      </w:r>
      <w:r w:rsidRPr="00A647E6">
        <w:rPr>
          <w:rFonts w:eastAsia="Times New Roman"/>
          <w:kern w:val="2"/>
          <w:lang w:eastAsia="ar-SA"/>
        </w:rPr>
        <w:t>356-450 GHz</w:t>
      </w:r>
      <w:r>
        <w:rPr>
          <w:rFonts w:eastAsia="Times New Roman"/>
          <w:kern w:val="2"/>
          <w:lang w:eastAsia="ar-SA"/>
        </w:rPr>
        <w:t>.</w:t>
      </w:r>
    </w:p>
    <w:p w:rsidR="00953887" w:rsidRPr="00A647E6" w:rsidRDefault="00953887" w:rsidP="00953887">
      <w:pPr>
        <w:pStyle w:val="ListParagraph"/>
        <w:tabs>
          <w:tab w:val="left" w:pos="630"/>
        </w:tabs>
        <w:adjustRightInd w:val="0"/>
        <w:spacing w:afterLines="50" w:after="120"/>
        <w:ind w:left="0"/>
        <w:contextualSpacing w:val="0"/>
        <w:jc w:val="both"/>
        <w:rPr>
          <w:rFonts w:eastAsia="Times New Roman"/>
          <w:kern w:val="2"/>
          <w:lang w:eastAsia="ar-SA"/>
        </w:rPr>
      </w:pPr>
      <w:r w:rsidRPr="00A647E6">
        <w:rPr>
          <w:rFonts w:eastAsia="Times New Roman"/>
          <w:kern w:val="2"/>
          <w:lang w:eastAsia="ar-SA"/>
        </w:rPr>
        <w:t xml:space="preserve">With a total bandwidth of 137 GHz, CEPT stresses that this is exceeding the assessed spectrum requirements of the land mobile and fixed services. In addition to the 23 GHz already allocated to land mobile and fixed services in the lower adjacent band 252-275 GHz, this is hence providing a contiguous band of 44 GHz. </w:t>
      </w:r>
    </w:p>
    <w:p w:rsidR="00953887" w:rsidRPr="00A647E6" w:rsidRDefault="00953887" w:rsidP="00953887">
      <w:pPr>
        <w:pStyle w:val="ListParagraph"/>
        <w:tabs>
          <w:tab w:val="left" w:pos="630"/>
        </w:tabs>
        <w:adjustRightInd w:val="0"/>
        <w:spacing w:afterLines="50" w:after="120"/>
        <w:ind w:left="0"/>
        <w:contextualSpacing w:val="0"/>
        <w:jc w:val="both"/>
        <w:rPr>
          <w:rFonts w:eastAsia="Times New Roman"/>
          <w:kern w:val="2"/>
          <w:lang w:eastAsia="ar-SA"/>
        </w:rPr>
      </w:pPr>
      <w:r w:rsidRPr="00A647E6">
        <w:rPr>
          <w:rFonts w:eastAsia="Times New Roman"/>
          <w:kern w:val="2"/>
          <w:lang w:eastAsia="ar-SA"/>
        </w:rPr>
        <w:lastRenderedPageBreak/>
        <w:t xml:space="preserve">However, CEPT does not support land mobile and fixed services identification in the EESS (passive) bands 296-306 GHz, 313-318 GHz and 333-356 GHz (as identified in </w:t>
      </w:r>
      <w:r w:rsidR="008D0058">
        <w:rPr>
          <w:rFonts w:eastAsia="Times New Roman"/>
          <w:kern w:val="2"/>
          <w:lang w:eastAsia="ar-SA"/>
        </w:rPr>
        <w:t xml:space="preserve">RR </w:t>
      </w:r>
      <w:r w:rsidRPr="00A647E6">
        <w:rPr>
          <w:rFonts w:eastAsia="Times New Roman"/>
          <w:kern w:val="2"/>
          <w:lang w:eastAsia="ar-SA"/>
        </w:rPr>
        <w:t xml:space="preserve">No. </w:t>
      </w:r>
      <w:r w:rsidRPr="00953887">
        <w:rPr>
          <w:rFonts w:eastAsia="Times New Roman"/>
          <w:b/>
          <w:kern w:val="2"/>
          <w:lang w:eastAsia="ar-SA"/>
        </w:rPr>
        <w:t>5.565</w:t>
      </w:r>
      <w:r w:rsidRPr="00A647E6">
        <w:rPr>
          <w:rFonts w:eastAsia="Times New Roman"/>
          <w:kern w:val="2"/>
          <w:lang w:eastAsia="ar-SA"/>
        </w:rPr>
        <w:t xml:space="preserve">) since study results show that they are not compatible. </w:t>
      </w:r>
    </w:p>
    <w:p w:rsidR="00953887" w:rsidRDefault="00953887" w:rsidP="00953887">
      <w:pPr>
        <w:pStyle w:val="ListParagraph"/>
        <w:tabs>
          <w:tab w:val="left" w:pos="630"/>
        </w:tabs>
        <w:adjustRightInd w:val="0"/>
        <w:spacing w:afterLines="50" w:after="120"/>
        <w:ind w:left="0"/>
        <w:contextualSpacing w:val="0"/>
        <w:jc w:val="both"/>
        <w:rPr>
          <w:rFonts w:eastAsia="Times New Roman"/>
          <w:kern w:val="2"/>
          <w:lang w:eastAsia="ar-SA"/>
        </w:rPr>
      </w:pPr>
      <w:r w:rsidRPr="00A647E6">
        <w:rPr>
          <w:rFonts w:eastAsia="Times New Roman"/>
          <w:kern w:val="2"/>
          <w:lang w:eastAsia="ar-SA"/>
        </w:rPr>
        <w:t>Active services other than land mobile and fixed services are not subject to WRC-19 agenda item 1.15. Consequently, CEPT is of the view that the corresponding regulatory provisions to other active services have to remain unchanged.</w:t>
      </w:r>
    </w:p>
    <w:p w:rsidR="00953887" w:rsidRDefault="00953887" w:rsidP="005A382B">
      <w:pPr>
        <w:pStyle w:val="ListParagraph"/>
        <w:keepNext/>
        <w:tabs>
          <w:tab w:val="left" w:pos="630"/>
        </w:tabs>
        <w:adjustRightInd w:val="0"/>
        <w:spacing w:afterLines="50" w:after="120"/>
        <w:ind w:left="0"/>
        <w:contextualSpacing w:val="0"/>
        <w:jc w:val="both"/>
        <w:rPr>
          <w:b/>
          <w:lang w:val="en-NZ" w:eastAsia="ko-KR"/>
        </w:rPr>
      </w:pPr>
      <w:r>
        <w:rPr>
          <w:b/>
          <w:lang w:val="en-NZ" w:eastAsia="ko-KR"/>
        </w:rPr>
        <w:t xml:space="preserve">7.1.3 RCC </w:t>
      </w:r>
      <w:r w:rsidRPr="006D6030">
        <w:rPr>
          <w:b/>
          <w:lang w:val="en-NZ" w:eastAsia="ko-KR"/>
        </w:rPr>
        <w:t>(</w:t>
      </w:r>
      <w:r w:rsidRPr="00442217">
        <w:rPr>
          <w:b/>
          <w:lang w:val="en-NZ" w:eastAsia="ko-KR"/>
        </w:rPr>
        <w:t>APG19-</w:t>
      </w:r>
      <w:r>
        <w:rPr>
          <w:b/>
          <w:lang w:val="en-NZ" w:eastAsia="ko-KR"/>
        </w:rPr>
        <w:t>4</w:t>
      </w:r>
      <w:r w:rsidRPr="00442217">
        <w:rPr>
          <w:b/>
          <w:lang w:val="en-NZ" w:eastAsia="ko-KR"/>
        </w:rPr>
        <w:t>/</w:t>
      </w:r>
      <w:r w:rsidRPr="006D6030">
        <w:rPr>
          <w:b/>
          <w:lang w:val="en-NZ" w:eastAsia="ko-KR"/>
        </w:rPr>
        <w:t>IN</w:t>
      </w:r>
      <w:r>
        <w:rPr>
          <w:b/>
          <w:lang w:val="en-NZ" w:eastAsia="ko-KR"/>
        </w:rPr>
        <w:t>F</w:t>
      </w:r>
      <w:r w:rsidRPr="006D6030">
        <w:rPr>
          <w:b/>
          <w:lang w:val="en-NZ" w:eastAsia="ko-KR"/>
        </w:rPr>
        <w:t>-</w:t>
      </w:r>
      <w:r>
        <w:rPr>
          <w:b/>
          <w:lang w:val="en-NZ" w:eastAsia="ko-KR"/>
        </w:rPr>
        <w:t>24)</w:t>
      </w:r>
    </w:p>
    <w:p w:rsidR="00953887" w:rsidRPr="00FB3886" w:rsidRDefault="00953887" w:rsidP="00953887">
      <w:pPr>
        <w:pStyle w:val="ListParagraph"/>
        <w:tabs>
          <w:tab w:val="left" w:pos="630"/>
        </w:tabs>
        <w:adjustRightInd w:val="0"/>
        <w:spacing w:afterLines="50" w:after="120"/>
        <w:ind w:left="0"/>
        <w:contextualSpacing w:val="0"/>
        <w:jc w:val="both"/>
        <w:rPr>
          <w:rFonts w:eastAsia="Times New Roman"/>
          <w:kern w:val="2"/>
          <w:lang w:eastAsia="ar-SA"/>
        </w:rPr>
      </w:pPr>
      <w:r w:rsidRPr="00FB3886">
        <w:rPr>
          <w:rFonts w:eastAsia="Times New Roman"/>
          <w:kern w:val="2"/>
          <w:lang w:eastAsia="ar-SA"/>
        </w:rPr>
        <w:t xml:space="preserve">The RCC Administrations consider it reasonable that identification of frequency bands for land-mobile and fixed service applications in 275-450 GHz band in the RR No. </w:t>
      </w:r>
      <w:r w:rsidRPr="005A382B">
        <w:rPr>
          <w:rFonts w:eastAsia="Times New Roman"/>
          <w:b/>
          <w:kern w:val="2"/>
          <w:lang w:eastAsia="ar-SA"/>
        </w:rPr>
        <w:t>5.565</w:t>
      </w:r>
      <w:r w:rsidRPr="00FB3886">
        <w:rPr>
          <w:rFonts w:eastAsia="Times New Roman"/>
          <w:kern w:val="2"/>
          <w:lang w:eastAsia="ar-SA"/>
        </w:rPr>
        <w:t xml:space="preserve"> will facilitate global harmonization of radio frequencies for development and introduction of land mobile and fixed service applications above 275 GHz. </w:t>
      </w:r>
    </w:p>
    <w:p w:rsidR="00953887" w:rsidRDefault="00953887" w:rsidP="00953887">
      <w:pPr>
        <w:pStyle w:val="ListParagraph"/>
        <w:tabs>
          <w:tab w:val="left" w:pos="630"/>
        </w:tabs>
        <w:adjustRightInd w:val="0"/>
        <w:spacing w:afterLines="50" w:after="120"/>
        <w:ind w:left="0"/>
        <w:contextualSpacing w:val="0"/>
        <w:jc w:val="both"/>
        <w:rPr>
          <w:rFonts w:eastAsia="Times New Roman"/>
          <w:kern w:val="2"/>
          <w:lang w:eastAsia="ar-SA"/>
        </w:rPr>
      </w:pPr>
      <w:r w:rsidRPr="00FB3886">
        <w:rPr>
          <w:rFonts w:eastAsia="Times New Roman"/>
          <w:kern w:val="2"/>
          <w:lang w:eastAsia="ar-SA"/>
        </w:rPr>
        <w:t xml:space="preserve">The RCC Administrations consider that when identifying frequency bands for active services in 275-450 GHz range, a balance of interests has to be observed in the use of this frequency range by both active and passive services, ensuring possibility for future development of new active service applications while excluding interferences to the passive services in the frequency bands already identified in No. </w:t>
      </w:r>
      <w:r w:rsidRPr="00953887">
        <w:rPr>
          <w:rFonts w:eastAsia="Times New Roman"/>
          <w:b/>
          <w:kern w:val="2"/>
          <w:lang w:eastAsia="ar-SA"/>
        </w:rPr>
        <w:t>5.565</w:t>
      </w:r>
      <w:r w:rsidRPr="00FB3886">
        <w:rPr>
          <w:rFonts w:eastAsia="Times New Roman"/>
          <w:kern w:val="2"/>
          <w:lang w:eastAsia="ar-SA"/>
        </w:rPr>
        <w:t xml:space="preserve"> of the Radio Regulations. </w:t>
      </w:r>
    </w:p>
    <w:p w:rsidR="00953887" w:rsidRPr="00FB3886" w:rsidRDefault="00953887" w:rsidP="00953887">
      <w:pPr>
        <w:pStyle w:val="ListParagraph"/>
        <w:tabs>
          <w:tab w:val="left" w:pos="630"/>
        </w:tabs>
        <w:adjustRightInd w:val="0"/>
        <w:spacing w:afterLines="50" w:after="120"/>
        <w:ind w:left="0"/>
        <w:contextualSpacing w:val="0"/>
        <w:jc w:val="both"/>
        <w:rPr>
          <w:rFonts w:eastAsia="Times New Roman"/>
          <w:kern w:val="2"/>
          <w:lang w:eastAsia="ar-SA"/>
        </w:rPr>
      </w:pPr>
      <w:r w:rsidRPr="00FB3886">
        <w:rPr>
          <w:rFonts w:eastAsia="Times New Roman"/>
          <w:kern w:val="2"/>
          <w:lang w:eastAsia="ar-SA"/>
        </w:rPr>
        <w:t xml:space="preserve">The RCC Administrations support inclusion in RR No. </w:t>
      </w:r>
      <w:r w:rsidRPr="00953887">
        <w:rPr>
          <w:rFonts w:eastAsia="Times New Roman"/>
          <w:b/>
          <w:kern w:val="2"/>
          <w:lang w:eastAsia="ar-SA"/>
        </w:rPr>
        <w:t>5.565</w:t>
      </w:r>
      <w:r w:rsidRPr="00FB3886">
        <w:rPr>
          <w:rFonts w:eastAsia="Times New Roman"/>
          <w:kern w:val="2"/>
          <w:lang w:eastAsia="ar-SA"/>
        </w:rPr>
        <w:t xml:space="preserve"> of the frequency bands 275-296 GHz, 306-313 GHz, 318-333 GHz and 356-450 GHz to be used by applications in the land mobile and fixed services (Method </w:t>
      </w:r>
      <w:r>
        <w:rPr>
          <w:rFonts w:eastAsia="Times New Roman"/>
          <w:kern w:val="2"/>
          <w:lang w:eastAsia="ar-SA"/>
        </w:rPr>
        <w:t>E</w:t>
      </w:r>
      <w:r w:rsidRPr="00FB3886">
        <w:rPr>
          <w:rFonts w:eastAsia="Times New Roman"/>
          <w:kern w:val="2"/>
          <w:lang w:eastAsia="ar-SA"/>
        </w:rPr>
        <w:t xml:space="preserve">). </w:t>
      </w:r>
    </w:p>
    <w:p w:rsidR="00953887" w:rsidRPr="005A382B" w:rsidRDefault="00953887" w:rsidP="00953887">
      <w:pPr>
        <w:pStyle w:val="ListParagraph"/>
        <w:numPr>
          <w:ilvl w:val="2"/>
          <w:numId w:val="21"/>
        </w:numPr>
        <w:tabs>
          <w:tab w:val="left" w:pos="630"/>
        </w:tabs>
        <w:adjustRightInd w:val="0"/>
        <w:spacing w:afterLines="50" w:after="120"/>
        <w:contextualSpacing w:val="0"/>
        <w:jc w:val="both"/>
        <w:rPr>
          <w:b/>
          <w:lang w:val="en-NZ" w:eastAsia="ko-KR"/>
        </w:rPr>
      </w:pPr>
      <w:r w:rsidRPr="005A382B">
        <w:rPr>
          <w:b/>
          <w:lang w:val="en-NZ" w:eastAsia="ko-KR"/>
        </w:rPr>
        <w:t>ASMG (</w:t>
      </w:r>
      <w:hyperlink r:id="rId15" w:history="1">
        <w:r w:rsidRPr="005A382B">
          <w:rPr>
            <w:rStyle w:val="Hyperlink"/>
          </w:rPr>
          <w:t>Document WRC-19-IRWSP-18/18</w:t>
        </w:r>
      </w:hyperlink>
      <w:r w:rsidRPr="005A382B">
        <w:rPr>
          <w:rStyle w:val="Hyperlink"/>
        </w:rPr>
        <w:t xml:space="preserve"> </w:t>
      </w:r>
      <w:r w:rsidRPr="005A382B">
        <w:rPr>
          <w:b/>
          <w:lang w:val="en-NZ" w:eastAsia="ko-KR"/>
        </w:rPr>
        <w:t xml:space="preserve">within </w:t>
      </w:r>
      <w:r w:rsidR="00871868" w:rsidRPr="005A382B">
        <w:rPr>
          <w:b/>
          <w:lang w:val="en-NZ"/>
        </w:rPr>
        <w:t>APG19-4/</w:t>
      </w:r>
      <w:r w:rsidRPr="005A382B">
        <w:rPr>
          <w:b/>
          <w:lang w:val="en-NZ"/>
        </w:rPr>
        <w:t>INP-09</w:t>
      </w:r>
      <w:r w:rsidR="00871868" w:rsidRPr="005A382B">
        <w:rPr>
          <w:rFonts w:eastAsiaTheme="minorEastAsia"/>
          <w:b/>
          <w:lang w:val="en-NZ" w:eastAsia="zh-CN"/>
        </w:rPr>
        <w:t>R1</w:t>
      </w:r>
      <w:r w:rsidRPr="005A382B">
        <w:rPr>
          <w:b/>
          <w:lang w:val="en-NZ" w:eastAsia="ko-KR"/>
        </w:rPr>
        <w:t>)</w:t>
      </w:r>
    </w:p>
    <w:p w:rsidR="00953887" w:rsidRPr="005A382B" w:rsidRDefault="00953887" w:rsidP="00953887">
      <w:pPr>
        <w:pStyle w:val="ListParagraph"/>
        <w:tabs>
          <w:tab w:val="left" w:pos="630"/>
        </w:tabs>
        <w:adjustRightInd w:val="0"/>
        <w:spacing w:afterLines="50" w:after="120"/>
        <w:ind w:left="0"/>
        <w:contextualSpacing w:val="0"/>
        <w:jc w:val="both"/>
        <w:rPr>
          <w:lang w:val="en-NZ" w:eastAsia="ko-KR"/>
        </w:rPr>
      </w:pPr>
      <w:r w:rsidRPr="005A382B">
        <w:rPr>
          <w:lang w:val="en-NZ" w:eastAsia="ko-KR"/>
        </w:rPr>
        <w:t xml:space="preserve">ASMG support the current studies to consider identification of frequency bands for use by administrations for the land-mobile and fixed services applications operating in the frequency range 275-450 GHz, while ensuring the protection of passive services identified in No </w:t>
      </w:r>
      <w:r w:rsidRPr="005A382B">
        <w:rPr>
          <w:b/>
          <w:lang w:val="en-NZ" w:eastAsia="ko-KR"/>
        </w:rPr>
        <w:t>5.565</w:t>
      </w:r>
      <w:r w:rsidRPr="005A382B">
        <w:rPr>
          <w:lang w:val="en-NZ" w:eastAsia="ko-KR"/>
        </w:rPr>
        <w:t>, and not adding any additional constraints on these services and the possibility to support the only method proposed to satisfy this Agenda Item.</w:t>
      </w:r>
    </w:p>
    <w:p w:rsidR="00953887" w:rsidRDefault="00953887" w:rsidP="00953887">
      <w:pPr>
        <w:pStyle w:val="ListParagraph"/>
        <w:tabs>
          <w:tab w:val="left" w:pos="630"/>
        </w:tabs>
        <w:adjustRightInd w:val="0"/>
        <w:spacing w:afterLines="50" w:after="120"/>
        <w:ind w:left="0"/>
        <w:contextualSpacing w:val="0"/>
        <w:jc w:val="both"/>
        <w:rPr>
          <w:b/>
          <w:lang w:val="en-NZ" w:eastAsia="ko-KR"/>
        </w:rPr>
      </w:pPr>
      <w:r w:rsidRPr="005A382B">
        <w:rPr>
          <w:b/>
          <w:lang w:val="en-NZ" w:eastAsia="ko-KR"/>
        </w:rPr>
        <w:t>7.1.5 ATU (</w:t>
      </w:r>
      <w:hyperlink r:id="rId16" w:history="1">
        <w:r w:rsidRPr="005A382B">
          <w:rPr>
            <w:rStyle w:val="Hyperlink"/>
          </w:rPr>
          <w:t>Document WRC-19-IRWSP-18/6</w:t>
        </w:r>
      </w:hyperlink>
      <w:r w:rsidRPr="005A382B">
        <w:rPr>
          <w:rStyle w:val="Hyperlink"/>
        </w:rPr>
        <w:t xml:space="preserve"> </w:t>
      </w:r>
      <w:r w:rsidRPr="005A382B">
        <w:rPr>
          <w:b/>
          <w:lang w:val="en-NZ" w:eastAsia="ko-KR"/>
        </w:rPr>
        <w:t xml:space="preserve">within </w:t>
      </w:r>
      <w:r w:rsidR="00871868" w:rsidRPr="005A382B">
        <w:rPr>
          <w:b/>
          <w:lang w:val="en-NZ"/>
        </w:rPr>
        <w:t>APG19-4/</w:t>
      </w:r>
      <w:r w:rsidRPr="005A382B">
        <w:rPr>
          <w:b/>
          <w:lang w:val="en-NZ"/>
        </w:rPr>
        <w:t>INP-09</w:t>
      </w:r>
      <w:r w:rsidR="00871868" w:rsidRPr="005A382B">
        <w:rPr>
          <w:rFonts w:eastAsiaTheme="minorEastAsia"/>
          <w:b/>
          <w:lang w:val="en-NZ" w:eastAsia="zh-CN"/>
        </w:rPr>
        <w:t>R1</w:t>
      </w:r>
      <w:r w:rsidRPr="005A382B">
        <w:rPr>
          <w:b/>
          <w:lang w:val="en-NZ" w:eastAsia="ko-KR"/>
        </w:rPr>
        <w:t>)</w:t>
      </w:r>
      <w:r>
        <w:rPr>
          <w:b/>
          <w:lang w:val="en-NZ" w:eastAsia="ko-KR"/>
        </w:rPr>
        <w:t xml:space="preserve"> </w:t>
      </w:r>
    </w:p>
    <w:p w:rsidR="00953887" w:rsidRDefault="00953887" w:rsidP="00953887">
      <w:pPr>
        <w:pStyle w:val="ListParagraph"/>
        <w:tabs>
          <w:tab w:val="left" w:pos="630"/>
        </w:tabs>
        <w:adjustRightInd w:val="0"/>
        <w:spacing w:afterLines="50" w:after="120"/>
        <w:ind w:left="0"/>
        <w:contextualSpacing w:val="0"/>
        <w:jc w:val="both"/>
        <w:rPr>
          <w:rFonts w:eastAsia="Times New Roman"/>
          <w:kern w:val="2"/>
          <w:lang w:val="en-NZ" w:eastAsia="ar-SA"/>
        </w:rPr>
      </w:pPr>
      <w:r>
        <w:rPr>
          <w:rFonts w:eastAsia="Times New Roman"/>
          <w:kern w:val="2"/>
          <w:lang w:val="en-NZ" w:eastAsia="ar-SA"/>
        </w:rPr>
        <w:t xml:space="preserve">ATU supports </w:t>
      </w:r>
      <w:r w:rsidRPr="00F71A74">
        <w:rPr>
          <w:rFonts w:eastAsia="Times New Roman"/>
          <w:kern w:val="2"/>
          <w:lang w:val="en-NZ" w:eastAsia="ar-SA"/>
        </w:rPr>
        <w:t xml:space="preserve">Method C, which suggests modifying RR No. </w:t>
      </w:r>
      <w:r w:rsidRPr="005A382B">
        <w:rPr>
          <w:rFonts w:eastAsia="Times New Roman"/>
          <w:b/>
          <w:kern w:val="2"/>
          <w:lang w:val="en-NZ" w:eastAsia="ar-SA"/>
        </w:rPr>
        <w:t>5.565</w:t>
      </w:r>
      <w:r w:rsidRPr="00F71A74">
        <w:rPr>
          <w:rFonts w:eastAsia="Times New Roman"/>
          <w:kern w:val="2"/>
          <w:lang w:val="en-NZ" w:eastAsia="ar-SA"/>
        </w:rPr>
        <w:t xml:space="preserve"> for use by fixed service land mobile service applications in portions of the 275-450 GHz band, while considering the evolving guidance of ITU R Recommendations and Reports. Studies that evaluated the entire 275-450 GHz range show that sharing is feasible between applications in the land mobile/fixed service, and applications in the Earth exploration satellite service (passive)/radio astronomy service in the particular frequency bands: 275-296 GHz, 306-313 GHz, 320-330 GHz and 356-450GHz.</w:t>
      </w:r>
    </w:p>
    <w:p w:rsidR="00953887" w:rsidRPr="00953887" w:rsidRDefault="00953887" w:rsidP="00953887">
      <w:pPr>
        <w:pStyle w:val="ListParagraph"/>
        <w:numPr>
          <w:ilvl w:val="1"/>
          <w:numId w:val="14"/>
        </w:numPr>
        <w:adjustRightInd w:val="0"/>
        <w:spacing w:afterLines="50" w:after="120"/>
        <w:ind w:left="0" w:firstLine="0"/>
        <w:contextualSpacing w:val="0"/>
        <w:rPr>
          <w:rFonts w:eastAsiaTheme="minorEastAsia"/>
          <w:b/>
          <w:lang w:val="en-NZ" w:eastAsia="zh-CN"/>
        </w:rPr>
      </w:pPr>
      <w:r>
        <w:rPr>
          <w:rFonts w:eastAsiaTheme="minorEastAsia"/>
          <w:b/>
          <w:lang w:val="en-NZ" w:eastAsia="zh-CN"/>
        </w:rPr>
        <w:t>International Organizations</w:t>
      </w:r>
    </w:p>
    <w:p w:rsidR="00277F99" w:rsidRDefault="00953887" w:rsidP="00953887">
      <w:pPr>
        <w:pStyle w:val="ListParagraph"/>
        <w:adjustRightInd w:val="0"/>
        <w:spacing w:afterLines="50" w:after="120"/>
        <w:ind w:left="0"/>
        <w:contextualSpacing w:val="0"/>
        <w:rPr>
          <w:b/>
          <w:lang w:val="en-NZ" w:eastAsia="ko-KR"/>
        </w:rPr>
      </w:pPr>
      <w:r>
        <w:rPr>
          <w:b/>
          <w:lang w:val="en-NZ" w:eastAsia="ko-KR"/>
        </w:rPr>
        <w:t xml:space="preserve">7.2.1 </w:t>
      </w:r>
      <w:r w:rsidR="00277F99">
        <w:rPr>
          <w:b/>
          <w:lang w:val="en-NZ" w:eastAsia="ko-KR"/>
        </w:rPr>
        <w:t xml:space="preserve">WMO </w:t>
      </w:r>
      <w:r w:rsidR="00277F99" w:rsidRPr="006D6030">
        <w:rPr>
          <w:b/>
          <w:lang w:val="en-NZ" w:eastAsia="ko-KR"/>
        </w:rPr>
        <w:t>(</w:t>
      </w:r>
      <w:r w:rsidR="00277F99" w:rsidRPr="00442217">
        <w:rPr>
          <w:b/>
          <w:lang w:val="en-NZ"/>
        </w:rPr>
        <w:t>APG19-</w:t>
      </w:r>
      <w:r w:rsidR="00277F99">
        <w:rPr>
          <w:b/>
          <w:lang w:val="en-NZ"/>
        </w:rPr>
        <w:t>4</w:t>
      </w:r>
      <w:r w:rsidR="00277F99" w:rsidRPr="00442217">
        <w:rPr>
          <w:b/>
          <w:lang w:val="en-NZ"/>
        </w:rPr>
        <w:t>/</w:t>
      </w:r>
      <w:r w:rsidR="00277F99" w:rsidRPr="006D6030">
        <w:rPr>
          <w:b/>
          <w:lang w:val="en-NZ" w:eastAsia="ko-KR"/>
        </w:rPr>
        <w:t>IN</w:t>
      </w:r>
      <w:r w:rsidR="00277F99">
        <w:rPr>
          <w:b/>
          <w:lang w:val="en-NZ" w:eastAsia="ko-KR"/>
        </w:rPr>
        <w:t>F</w:t>
      </w:r>
      <w:r w:rsidR="00277F99" w:rsidRPr="006D6030">
        <w:rPr>
          <w:b/>
          <w:lang w:val="en-NZ" w:eastAsia="ko-KR"/>
        </w:rPr>
        <w:t>-</w:t>
      </w:r>
      <w:r w:rsidR="00277F99">
        <w:rPr>
          <w:b/>
          <w:lang w:val="en-NZ" w:eastAsia="ko-KR"/>
        </w:rPr>
        <w:t>02)</w:t>
      </w:r>
    </w:p>
    <w:p w:rsidR="00277F99" w:rsidRPr="00277F99" w:rsidRDefault="00277F99" w:rsidP="005A382B">
      <w:pPr>
        <w:pStyle w:val="ListParagraph"/>
        <w:adjustRightInd w:val="0"/>
        <w:spacing w:afterLines="50" w:after="120"/>
        <w:ind w:left="0"/>
        <w:contextualSpacing w:val="0"/>
        <w:jc w:val="both"/>
        <w:rPr>
          <w:lang w:val="en-GB"/>
        </w:rPr>
      </w:pPr>
      <w:r w:rsidRPr="00277F99">
        <w:rPr>
          <w:lang w:val="en-GB"/>
        </w:rPr>
        <w:t xml:space="preserve">In general, WMO does not oppose the identification of land-mobile and fixed services in part of the 275-450 GHz band provided that protection of EESS (passive) is ensured and the identification is consistent with footnote RR No. </w:t>
      </w:r>
      <w:r w:rsidRPr="00277F99">
        <w:rPr>
          <w:b/>
          <w:bCs/>
          <w:lang w:val="en-GB"/>
        </w:rPr>
        <w:t>5.565</w:t>
      </w:r>
      <w:r w:rsidRPr="00277F99">
        <w:rPr>
          <w:lang w:val="en-GB"/>
        </w:rPr>
        <w:t>.</w:t>
      </w:r>
    </w:p>
    <w:p w:rsidR="00277F99" w:rsidRDefault="00277F99" w:rsidP="005A382B">
      <w:pPr>
        <w:pStyle w:val="ListParagraph"/>
        <w:adjustRightInd w:val="0"/>
        <w:spacing w:afterLines="50" w:after="120"/>
        <w:ind w:left="0"/>
        <w:contextualSpacing w:val="0"/>
        <w:jc w:val="both"/>
        <w:rPr>
          <w:b/>
          <w:lang w:val="en-NZ"/>
        </w:rPr>
      </w:pPr>
      <w:r w:rsidRPr="00404FF3">
        <w:rPr>
          <w:lang w:val="en-GB"/>
        </w:rPr>
        <w:t>The bands 296-306 GHz, 313-320 GHz and 331-356 GHz should not be considered because fixed and land mobile services would not be compatible with the EESS (passive).</w:t>
      </w:r>
    </w:p>
    <w:p w:rsidR="00806638" w:rsidRDefault="00806638" w:rsidP="005A382B">
      <w:pPr>
        <w:pStyle w:val="ListParagraph"/>
        <w:numPr>
          <w:ilvl w:val="2"/>
          <w:numId w:val="22"/>
        </w:numPr>
        <w:tabs>
          <w:tab w:val="left" w:pos="630"/>
        </w:tabs>
        <w:adjustRightInd w:val="0"/>
        <w:spacing w:afterLines="50" w:after="120"/>
        <w:contextualSpacing w:val="0"/>
        <w:jc w:val="both"/>
        <w:rPr>
          <w:b/>
          <w:lang w:val="en-NZ" w:eastAsia="ko-KR"/>
        </w:rPr>
      </w:pPr>
      <w:r>
        <w:rPr>
          <w:b/>
          <w:lang w:val="en-NZ" w:eastAsia="ko-KR"/>
        </w:rPr>
        <w:t xml:space="preserve">IARU </w:t>
      </w:r>
      <w:r w:rsidRPr="006D6030">
        <w:rPr>
          <w:b/>
          <w:lang w:val="en-NZ" w:eastAsia="ko-KR"/>
        </w:rPr>
        <w:t>(</w:t>
      </w:r>
      <w:r w:rsidRPr="00442217">
        <w:rPr>
          <w:b/>
          <w:lang w:val="en-NZ"/>
        </w:rPr>
        <w:t>APG19-</w:t>
      </w:r>
      <w:r>
        <w:rPr>
          <w:b/>
          <w:lang w:val="en-NZ"/>
        </w:rPr>
        <w:t>4</w:t>
      </w:r>
      <w:r w:rsidRPr="00442217">
        <w:rPr>
          <w:b/>
          <w:lang w:val="en-NZ"/>
        </w:rPr>
        <w:t>/</w:t>
      </w:r>
      <w:r w:rsidRPr="006D6030">
        <w:rPr>
          <w:b/>
          <w:lang w:val="en-NZ" w:eastAsia="ko-KR"/>
        </w:rPr>
        <w:t>IN</w:t>
      </w:r>
      <w:r>
        <w:rPr>
          <w:b/>
          <w:lang w:val="en-NZ" w:eastAsia="ko-KR"/>
        </w:rPr>
        <w:t>F</w:t>
      </w:r>
      <w:r w:rsidRPr="006D6030">
        <w:rPr>
          <w:b/>
          <w:lang w:val="en-NZ" w:eastAsia="ko-KR"/>
        </w:rPr>
        <w:t>-</w:t>
      </w:r>
      <w:r>
        <w:rPr>
          <w:b/>
          <w:lang w:val="en-NZ" w:eastAsia="ko-KR"/>
        </w:rPr>
        <w:t>0</w:t>
      </w:r>
      <w:r w:rsidR="00277F99">
        <w:rPr>
          <w:b/>
          <w:lang w:val="en-NZ" w:eastAsia="ko-KR"/>
        </w:rPr>
        <w:t>3</w:t>
      </w:r>
      <w:r>
        <w:rPr>
          <w:b/>
          <w:lang w:val="en-NZ" w:eastAsia="ko-KR"/>
        </w:rPr>
        <w:t>)</w:t>
      </w:r>
    </w:p>
    <w:p w:rsidR="00806638" w:rsidRDefault="00277F99" w:rsidP="005A382B">
      <w:pPr>
        <w:pStyle w:val="ListParagraph"/>
        <w:tabs>
          <w:tab w:val="left" w:pos="630"/>
        </w:tabs>
        <w:adjustRightInd w:val="0"/>
        <w:spacing w:afterLines="50" w:after="120"/>
        <w:ind w:left="0"/>
        <w:contextualSpacing w:val="0"/>
        <w:jc w:val="both"/>
        <w:rPr>
          <w:rFonts w:eastAsia="Times New Roman"/>
          <w:kern w:val="2"/>
          <w:lang w:eastAsia="ar-SA"/>
        </w:rPr>
      </w:pPr>
      <w:r w:rsidRPr="0088765E">
        <w:rPr>
          <w:rFonts w:eastAsia="Times New Roman"/>
          <w:kern w:val="2"/>
          <w:lang w:eastAsia="ar-SA"/>
        </w:rPr>
        <w:t xml:space="preserve">In considering identification of frequency bands for the land-mobile and fixed service application </w:t>
      </w:r>
      <w:r w:rsidRPr="0088765E">
        <w:rPr>
          <w:lang w:eastAsia="ko-KR"/>
        </w:rPr>
        <w:t>in the frequency range of 275-450 GHz,</w:t>
      </w:r>
      <w:r w:rsidRPr="0088765E">
        <w:rPr>
          <w:rFonts w:eastAsia="Times New Roman"/>
          <w:kern w:val="2"/>
          <w:lang w:eastAsia="ar-SA"/>
        </w:rPr>
        <w:t xml:space="preserve"> the IARU is of the view that whichever method is taken, access for non-commercial experimentation by stations in the amateur service to as much of the frequency range as possible be maintained.</w:t>
      </w:r>
    </w:p>
    <w:p w:rsidR="00D1252E" w:rsidRDefault="00D1252E" w:rsidP="00402333"/>
    <w:p w:rsidR="00DA7595" w:rsidRPr="009A4A6D" w:rsidRDefault="00C357AD" w:rsidP="00114802">
      <w:pPr>
        <w:jc w:val="center"/>
        <w:rPr>
          <w:snapToGrid w:val="0"/>
        </w:rPr>
      </w:pPr>
      <w:r>
        <w:t>____________</w:t>
      </w:r>
    </w:p>
    <w:sectPr w:rsidR="00DA7595" w:rsidRPr="009A4A6D" w:rsidSect="00E77594">
      <w:headerReference w:type="default" r:id="rId17"/>
      <w:footerReference w:type="even" r:id="rId18"/>
      <w:footerReference w:type="default" r:id="rId19"/>
      <w:footerReference w:type="first" r:id="rId20"/>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F3F" w:rsidRDefault="00566F3F">
      <w:r>
        <w:separator/>
      </w:r>
    </w:p>
  </w:endnote>
  <w:endnote w:type="continuationSeparator" w:id="0">
    <w:p w:rsidR="00566F3F" w:rsidRDefault="0056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Che">
    <w:altName w:val="Arial Unicode MS"/>
    <w:panose1 w:val="02030609000101010101"/>
    <w:charset w:val="81"/>
    <w:family w:val="modern"/>
    <w:pitch w:val="fixed"/>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1A25A5" w:rsidP="001A25A5">
    <w:pPr>
      <w:pStyle w:val="Footer"/>
      <w:ind w:right="360"/>
    </w:pPr>
    <w:r>
      <w:rPr>
        <w:rFonts w:hint="eastAsia"/>
        <w:lang w:eastAsia="ko-KR"/>
      </w:rPr>
      <w:t>A</w:t>
    </w:r>
    <w:r>
      <w:rPr>
        <w:lang w:eastAsia="ko-KR"/>
      </w:rPr>
      <w:t>PG19</w:t>
    </w:r>
    <w:r>
      <w:rPr>
        <w:rFonts w:hint="eastAsia"/>
        <w:lang w:eastAsia="ko-KR"/>
      </w:rPr>
      <w:t>-</w:t>
    </w:r>
    <w:r>
      <w:rPr>
        <w:lang w:eastAsia="ko-KR"/>
      </w:rPr>
      <w:t>4</w:t>
    </w:r>
    <w:r>
      <w:rPr>
        <w:rFonts w:hint="eastAsia"/>
        <w:lang w:eastAsia="ko-KR"/>
      </w:rPr>
      <w:t>/</w:t>
    </w:r>
    <w:r w:rsidR="00DF1E5B">
      <w:rPr>
        <w:lang w:eastAsia="ko-KR"/>
      </w:rPr>
      <w:t>OUT</w:t>
    </w:r>
    <w:r>
      <w:rPr>
        <w:lang w:eastAsia="ko-KR"/>
      </w:rPr>
      <w:t>-</w:t>
    </w:r>
    <w:r w:rsidR="00DF1E5B">
      <w:rPr>
        <w:lang w:eastAsia="ko-KR"/>
      </w:rPr>
      <w:t>18</w:t>
    </w:r>
    <w:r>
      <w:rPr>
        <w:lang w:eastAsia="ko-KR"/>
      </w:rPr>
      <w:tab/>
    </w:r>
    <w:r>
      <w:rPr>
        <w:lang w:eastAsia="ko-K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E77594">
      <w:rPr>
        <w:rStyle w:val="PageNumber"/>
        <w:noProof/>
      </w:rPr>
      <w:t>7</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E77594">
      <w:rPr>
        <w:rStyle w:val="PageNumber"/>
        <w:noProof/>
      </w:rPr>
      <w:t>7</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rsidRPr="001A25A5">
      <w:trPr>
        <w:cantSplit/>
        <w:trHeight w:val="204"/>
        <w:jc w:val="center"/>
      </w:trPr>
      <w:tc>
        <w:tcPr>
          <w:tcW w:w="1617" w:type="dxa"/>
          <w:tcBorders>
            <w:top w:val="single" w:sz="12" w:space="0" w:color="auto"/>
          </w:tcBorders>
        </w:tcPr>
        <w:p w:rsidR="0097693B" w:rsidRPr="001A25A5" w:rsidRDefault="0097693B" w:rsidP="00762576">
          <w:pPr>
            <w:rPr>
              <w:b/>
              <w:bCs/>
            </w:rPr>
          </w:pPr>
          <w:r w:rsidRPr="001A25A5">
            <w:rPr>
              <w:b/>
              <w:bCs/>
            </w:rPr>
            <w:t>Contact:</w:t>
          </w:r>
          <w:r w:rsidR="00E77594">
            <w:rPr>
              <w:b/>
              <w:bCs/>
            </w:rPr>
            <w:t xml:space="preserve"> </w:t>
          </w:r>
        </w:p>
      </w:tc>
      <w:tc>
        <w:tcPr>
          <w:tcW w:w="4394" w:type="dxa"/>
          <w:tcBorders>
            <w:top w:val="single" w:sz="12" w:space="0" w:color="auto"/>
          </w:tcBorders>
        </w:tcPr>
        <w:p w:rsidR="0097693B" w:rsidRDefault="00E77594" w:rsidP="00DE273D">
          <w:pPr>
            <w:pStyle w:val="Equation"/>
            <w:tabs>
              <w:tab w:val="clear" w:pos="4820"/>
              <w:tab w:val="clear" w:pos="9639"/>
              <w:tab w:val="left" w:pos="1191"/>
              <w:tab w:val="left" w:pos="1588"/>
              <w:tab w:val="left" w:pos="1985"/>
            </w:tabs>
            <w:spacing w:beforeLines="0" w:before="0"/>
            <w:rPr>
              <w:rFonts w:eastAsia="Batang"/>
              <w:szCs w:val="24"/>
            </w:rPr>
          </w:pPr>
          <w:r>
            <w:rPr>
              <w:rFonts w:eastAsia="Batang"/>
              <w:szCs w:val="24"/>
            </w:rPr>
            <w:t>MR. HUANG JIA</w:t>
          </w:r>
        </w:p>
        <w:p w:rsidR="00E77594" w:rsidRPr="001A25A5" w:rsidRDefault="00E77594" w:rsidP="00DE273D">
          <w:pPr>
            <w:pStyle w:val="Equation"/>
            <w:tabs>
              <w:tab w:val="clear" w:pos="4820"/>
              <w:tab w:val="clear" w:pos="9639"/>
              <w:tab w:val="left" w:pos="1191"/>
              <w:tab w:val="left" w:pos="1588"/>
              <w:tab w:val="left" w:pos="1985"/>
            </w:tabs>
            <w:spacing w:beforeLines="0" w:before="0"/>
            <w:rPr>
              <w:rFonts w:eastAsia="Batang"/>
              <w:szCs w:val="24"/>
            </w:rPr>
          </w:pPr>
          <w:r>
            <w:rPr>
              <w:rFonts w:eastAsia="Batang"/>
              <w:szCs w:val="24"/>
            </w:rPr>
            <w:t>Chairman, WP1</w:t>
          </w:r>
        </w:p>
      </w:tc>
      <w:tc>
        <w:tcPr>
          <w:tcW w:w="3912" w:type="dxa"/>
          <w:tcBorders>
            <w:top w:val="single" w:sz="12" w:space="0" w:color="auto"/>
          </w:tcBorders>
        </w:tcPr>
        <w:p w:rsidR="0097693B" w:rsidRPr="001A25A5" w:rsidRDefault="0097693B" w:rsidP="00762576">
          <w:pPr>
            <w:rPr>
              <w:lang w:eastAsia="ja-JP"/>
            </w:rPr>
          </w:pPr>
          <w:r w:rsidRPr="001A25A5">
            <w:t>Email</w:t>
          </w:r>
          <w:r w:rsidRPr="001A25A5">
            <w:rPr>
              <w:rFonts w:hint="eastAsia"/>
            </w:rPr>
            <w:t xml:space="preserve">: </w:t>
          </w:r>
          <w:hyperlink r:id="rId1" w:history="1">
            <w:r w:rsidR="00E77594" w:rsidRPr="00492A22">
              <w:rPr>
                <w:rStyle w:val="Hyperlink"/>
              </w:rPr>
              <w:t>ferrero.huang@srrc.org.cn</w:t>
            </w:r>
          </w:hyperlink>
          <w:r w:rsidR="00E77594">
            <w:t xml:space="preserve"> </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F3F" w:rsidRDefault="00566F3F">
      <w:r>
        <w:separator/>
      </w:r>
    </w:p>
  </w:footnote>
  <w:footnote w:type="continuationSeparator" w:id="0">
    <w:p w:rsidR="00566F3F" w:rsidRDefault="00566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C15633">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43922C1"/>
    <w:multiLevelType w:val="singleLevel"/>
    <w:tmpl w:val="D43922C1"/>
    <w:lvl w:ilvl="0">
      <w:start w:val="1"/>
      <w:numFmt w:val="decimal"/>
      <w:suff w:val="space"/>
      <w:lvlText w:val="(%1)"/>
      <w:lvlJc w:val="left"/>
    </w:lvl>
  </w:abstractNum>
  <w:abstractNum w:abstractNumId="1" w15:restartNumberingAfterBreak="0">
    <w:nsid w:val="02703550"/>
    <w:multiLevelType w:val="hybridMultilevel"/>
    <w:tmpl w:val="6916D0E0"/>
    <w:lvl w:ilvl="0" w:tplc="EFDEB96E">
      <w:start w:val="1"/>
      <w:numFmt w:val="bullet"/>
      <w:lvlText w:val="-"/>
      <w:lvlJc w:val="left"/>
      <w:pPr>
        <w:ind w:left="-90" w:hanging="360"/>
      </w:pPr>
      <w:rPr>
        <w:rFonts w:ascii="Times New Roman" w:eastAsia="BatangChe" w:hAnsi="Times New Roman" w:cs="Times New Roman" w:hint="default"/>
        <w:b w:val="0"/>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20E5CDD"/>
    <w:multiLevelType w:val="multilevel"/>
    <w:tmpl w:val="970C3492"/>
    <w:lvl w:ilvl="0">
      <w:start w:val="7"/>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 w15:restartNumberingAfterBreak="0">
    <w:nsid w:val="1C9A75E8"/>
    <w:multiLevelType w:val="hybridMultilevel"/>
    <w:tmpl w:val="1C0EB892"/>
    <w:lvl w:ilvl="0" w:tplc="CD584E42">
      <w:start w:val="1"/>
      <w:numFmt w:val="bullet"/>
      <w:lvlText w:val="-"/>
      <w:lvlJc w:val="left"/>
      <w:pPr>
        <w:ind w:left="1080" w:hanging="360"/>
      </w:pPr>
      <w:rPr>
        <w:rFonts w:ascii="SimSun" w:eastAsia="SimSun" w:hAnsi="SimSun" w:hint="eastAsia"/>
      </w:rPr>
    </w:lvl>
    <w:lvl w:ilvl="1" w:tplc="48090003">
      <w:start w:val="1"/>
      <w:numFmt w:val="bullet"/>
      <w:lvlText w:val="o"/>
      <w:lvlJc w:val="left"/>
      <w:pPr>
        <w:ind w:left="1800" w:hanging="360"/>
      </w:pPr>
      <w:rPr>
        <w:rFonts w:ascii="Courier New" w:hAnsi="Courier New" w:cs="Courier New" w:hint="default"/>
      </w:rPr>
    </w:lvl>
    <w:lvl w:ilvl="2" w:tplc="48090005">
      <w:start w:val="1"/>
      <w:numFmt w:val="bullet"/>
      <w:lvlText w:val=""/>
      <w:lvlJc w:val="left"/>
      <w:pPr>
        <w:ind w:left="2520" w:hanging="360"/>
      </w:pPr>
      <w:rPr>
        <w:rFonts w:ascii="Wingdings" w:hAnsi="Wingdings" w:hint="default"/>
      </w:rPr>
    </w:lvl>
    <w:lvl w:ilvl="3" w:tplc="48090001">
      <w:start w:val="1"/>
      <w:numFmt w:val="bullet"/>
      <w:lvlText w:val=""/>
      <w:lvlJc w:val="left"/>
      <w:pPr>
        <w:ind w:left="3240" w:hanging="360"/>
      </w:pPr>
      <w:rPr>
        <w:rFonts w:ascii="Symbol" w:hAnsi="Symbol" w:hint="default"/>
      </w:rPr>
    </w:lvl>
    <w:lvl w:ilvl="4" w:tplc="48090003">
      <w:start w:val="1"/>
      <w:numFmt w:val="bullet"/>
      <w:lvlText w:val="o"/>
      <w:lvlJc w:val="left"/>
      <w:pPr>
        <w:ind w:left="3960" w:hanging="360"/>
      </w:pPr>
      <w:rPr>
        <w:rFonts w:ascii="Courier New" w:hAnsi="Courier New" w:cs="Courier New" w:hint="default"/>
      </w:rPr>
    </w:lvl>
    <w:lvl w:ilvl="5" w:tplc="48090005">
      <w:start w:val="1"/>
      <w:numFmt w:val="bullet"/>
      <w:lvlText w:val=""/>
      <w:lvlJc w:val="left"/>
      <w:pPr>
        <w:ind w:left="4680" w:hanging="360"/>
      </w:pPr>
      <w:rPr>
        <w:rFonts w:ascii="Wingdings" w:hAnsi="Wingdings" w:hint="default"/>
      </w:rPr>
    </w:lvl>
    <w:lvl w:ilvl="6" w:tplc="48090001">
      <w:start w:val="1"/>
      <w:numFmt w:val="bullet"/>
      <w:lvlText w:val=""/>
      <w:lvlJc w:val="left"/>
      <w:pPr>
        <w:ind w:left="5400" w:hanging="360"/>
      </w:pPr>
      <w:rPr>
        <w:rFonts w:ascii="Symbol" w:hAnsi="Symbol" w:hint="default"/>
      </w:rPr>
    </w:lvl>
    <w:lvl w:ilvl="7" w:tplc="48090003">
      <w:start w:val="1"/>
      <w:numFmt w:val="bullet"/>
      <w:lvlText w:val="o"/>
      <w:lvlJc w:val="left"/>
      <w:pPr>
        <w:ind w:left="6120" w:hanging="360"/>
      </w:pPr>
      <w:rPr>
        <w:rFonts w:ascii="Courier New" w:hAnsi="Courier New" w:cs="Courier New" w:hint="default"/>
      </w:rPr>
    </w:lvl>
    <w:lvl w:ilvl="8" w:tplc="48090005">
      <w:start w:val="1"/>
      <w:numFmt w:val="bullet"/>
      <w:lvlText w:val=""/>
      <w:lvlJc w:val="left"/>
      <w:pPr>
        <w:ind w:left="6840" w:hanging="360"/>
      </w:pPr>
      <w:rPr>
        <w:rFonts w:ascii="Wingdings" w:hAnsi="Wingdings" w:hint="default"/>
      </w:r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6850E2"/>
    <w:multiLevelType w:val="hybridMultilevel"/>
    <w:tmpl w:val="A378D508"/>
    <w:lvl w:ilvl="0" w:tplc="F93E77FC">
      <w:start w:val="1"/>
      <w:numFmt w:val="upperLetter"/>
      <w:pStyle w:val="EncAttach"/>
      <w:lvlText w:val="%1 — "/>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54E6C01"/>
    <w:multiLevelType w:val="hybridMultilevel"/>
    <w:tmpl w:val="6400AF9C"/>
    <w:lvl w:ilvl="0" w:tplc="CD584E42">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62274AD3"/>
    <w:multiLevelType w:val="multilevel"/>
    <w:tmpl w:val="A426C832"/>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5110C2A"/>
    <w:multiLevelType w:val="hybridMultilevel"/>
    <w:tmpl w:val="C9567C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5FA003E"/>
    <w:multiLevelType w:val="hybridMultilevel"/>
    <w:tmpl w:val="09AEA8AE"/>
    <w:lvl w:ilvl="0" w:tplc="CD584E42">
      <w:start w:val="1"/>
      <w:numFmt w:val="bullet"/>
      <w:lvlText w:val="-"/>
      <w:lvlJc w:val="left"/>
      <w:pPr>
        <w:ind w:left="690" w:hanging="420"/>
      </w:pPr>
      <w:rPr>
        <w:rFonts w:ascii="SimSun" w:eastAsia="SimSun" w:hAnsi="SimSun" w:hint="eastAsia"/>
      </w:rPr>
    </w:lvl>
    <w:lvl w:ilvl="1" w:tplc="04090003" w:tentative="1">
      <w:start w:val="1"/>
      <w:numFmt w:val="bullet"/>
      <w:lvlText w:val=""/>
      <w:lvlJc w:val="left"/>
      <w:pPr>
        <w:ind w:left="1110" w:hanging="420"/>
      </w:pPr>
      <w:rPr>
        <w:rFonts w:ascii="Wingdings" w:hAnsi="Wingdings" w:hint="default"/>
      </w:rPr>
    </w:lvl>
    <w:lvl w:ilvl="2" w:tplc="04090005"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3" w:tentative="1">
      <w:start w:val="1"/>
      <w:numFmt w:val="bullet"/>
      <w:lvlText w:val=""/>
      <w:lvlJc w:val="left"/>
      <w:pPr>
        <w:ind w:left="2370" w:hanging="420"/>
      </w:pPr>
      <w:rPr>
        <w:rFonts w:ascii="Wingdings" w:hAnsi="Wingdings" w:hint="default"/>
      </w:rPr>
    </w:lvl>
    <w:lvl w:ilvl="5" w:tplc="04090005"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3" w:tentative="1">
      <w:start w:val="1"/>
      <w:numFmt w:val="bullet"/>
      <w:lvlText w:val=""/>
      <w:lvlJc w:val="left"/>
      <w:pPr>
        <w:ind w:left="3630" w:hanging="420"/>
      </w:pPr>
      <w:rPr>
        <w:rFonts w:ascii="Wingdings" w:hAnsi="Wingdings" w:hint="default"/>
      </w:rPr>
    </w:lvl>
    <w:lvl w:ilvl="8" w:tplc="04090005" w:tentative="1">
      <w:start w:val="1"/>
      <w:numFmt w:val="bullet"/>
      <w:lvlText w:val=""/>
      <w:lvlJc w:val="left"/>
      <w:pPr>
        <w:ind w:left="4050" w:hanging="420"/>
      </w:pPr>
      <w:rPr>
        <w:rFonts w:ascii="Wingdings" w:hAnsi="Wingdings" w:hint="default"/>
      </w:rPr>
    </w:lvl>
  </w:abstractNum>
  <w:abstractNum w:abstractNumId="16" w15:restartNumberingAfterBreak="0">
    <w:nsid w:val="67AA30DB"/>
    <w:multiLevelType w:val="hybridMultilevel"/>
    <w:tmpl w:val="4112A29A"/>
    <w:lvl w:ilvl="0" w:tplc="D294FB6E">
      <w:start w:val="1"/>
      <w:numFmt w:val="bullet"/>
      <w:lvlText w:val="-"/>
      <w:lvlJc w:val="left"/>
      <w:pPr>
        <w:ind w:left="1080" w:hanging="360"/>
      </w:pPr>
      <w:rPr>
        <w:rFonts w:ascii="Times New Roman" w:eastAsia="BatangChe" w:hAnsi="Times New Roman" w:cs="Times New Roman" w:hint="default"/>
      </w:rPr>
    </w:lvl>
    <w:lvl w:ilvl="1" w:tplc="48090003">
      <w:start w:val="1"/>
      <w:numFmt w:val="bullet"/>
      <w:lvlText w:val="o"/>
      <w:lvlJc w:val="left"/>
      <w:pPr>
        <w:ind w:left="1800" w:hanging="360"/>
      </w:pPr>
      <w:rPr>
        <w:rFonts w:ascii="Courier New" w:hAnsi="Courier New" w:cs="Courier New" w:hint="default"/>
      </w:rPr>
    </w:lvl>
    <w:lvl w:ilvl="2" w:tplc="48090005">
      <w:start w:val="1"/>
      <w:numFmt w:val="bullet"/>
      <w:lvlText w:val=""/>
      <w:lvlJc w:val="left"/>
      <w:pPr>
        <w:ind w:left="2520" w:hanging="360"/>
      </w:pPr>
      <w:rPr>
        <w:rFonts w:ascii="Wingdings" w:hAnsi="Wingdings" w:hint="default"/>
      </w:rPr>
    </w:lvl>
    <w:lvl w:ilvl="3" w:tplc="48090001">
      <w:start w:val="1"/>
      <w:numFmt w:val="bullet"/>
      <w:lvlText w:val=""/>
      <w:lvlJc w:val="left"/>
      <w:pPr>
        <w:ind w:left="3240" w:hanging="360"/>
      </w:pPr>
      <w:rPr>
        <w:rFonts w:ascii="Symbol" w:hAnsi="Symbol" w:hint="default"/>
      </w:rPr>
    </w:lvl>
    <w:lvl w:ilvl="4" w:tplc="48090003">
      <w:start w:val="1"/>
      <w:numFmt w:val="bullet"/>
      <w:lvlText w:val="o"/>
      <w:lvlJc w:val="left"/>
      <w:pPr>
        <w:ind w:left="3960" w:hanging="360"/>
      </w:pPr>
      <w:rPr>
        <w:rFonts w:ascii="Courier New" w:hAnsi="Courier New" w:cs="Courier New" w:hint="default"/>
      </w:rPr>
    </w:lvl>
    <w:lvl w:ilvl="5" w:tplc="48090005">
      <w:start w:val="1"/>
      <w:numFmt w:val="bullet"/>
      <w:lvlText w:val=""/>
      <w:lvlJc w:val="left"/>
      <w:pPr>
        <w:ind w:left="4680" w:hanging="360"/>
      </w:pPr>
      <w:rPr>
        <w:rFonts w:ascii="Wingdings" w:hAnsi="Wingdings" w:hint="default"/>
      </w:rPr>
    </w:lvl>
    <w:lvl w:ilvl="6" w:tplc="48090001">
      <w:start w:val="1"/>
      <w:numFmt w:val="bullet"/>
      <w:lvlText w:val=""/>
      <w:lvlJc w:val="left"/>
      <w:pPr>
        <w:ind w:left="5400" w:hanging="360"/>
      </w:pPr>
      <w:rPr>
        <w:rFonts w:ascii="Symbol" w:hAnsi="Symbol" w:hint="default"/>
      </w:rPr>
    </w:lvl>
    <w:lvl w:ilvl="7" w:tplc="48090003">
      <w:start w:val="1"/>
      <w:numFmt w:val="bullet"/>
      <w:lvlText w:val="o"/>
      <w:lvlJc w:val="left"/>
      <w:pPr>
        <w:ind w:left="6120" w:hanging="360"/>
      </w:pPr>
      <w:rPr>
        <w:rFonts w:ascii="Courier New" w:hAnsi="Courier New" w:cs="Courier New" w:hint="default"/>
      </w:rPr>
    </w:lvl>
    <w:lvl w:ilvl="8" w:tplc="48090005">
      <w:start w:val="1"/>
      <w:numFmt w:val="bullet"/>
      <w:lvlText w:val=""/>
      <w:lvlJc w:val="left"/>
      <w:pPr>
        <w:ind w:left="6840" w:hanging="360"/>
      </w:pPr>
      <w:rPr>
        <w:rFonts w:ascii="Wingdings" w:hAnsi="Wingdings" w:hint="default"/>
      </w:rPr>
    </w:lvl>
  </w:abstractNum>
  <w:abstractNum w:abstractNumId="17" w15:restartNumberingAfterBreak="0">
    <w:nsid w:val="6A173118"/>
    <w:multiLevelType w:val="hybridMultilevel"/>
    <w:tmpl w:val="FC283F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F04BBF"/>
    <w:multiLevelType w:val="multilevel"/>
    <w:tmpl w:val="36E6A6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72CD7B2D"/>
    <w:multiLevelType w:val="multilevel"/>
    <w:tmpl w:val="45E84C6E"/>
    <w:lvl w:ilvl="0">
      <w:start w:val="1"/>
      <w:numFmt w:val="decimal"/>
      <w:lvlText w:val="%1."/>
      <w:lvlJc w:val="left"/>
      <w:pPr>
        <w:ind w:left="1080" w:hanging="72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40C39D0"/>
    <w:multiLevelType w:val="multilevel"/>
    <w:tmpl w:val="57561282"/>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63F2E9B"/>
    <w:multiLevelType w:val="multilevel"/>
    <w:tmpl w:val="37BA5B5C"/>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11"/>
  </w:num>
  <w:num w:numId="2">
    <w:abstractNumId w:val="8"/>
  </w:num>
  <w:num w:numId="3">
    <w:abstractNumId w:val="7"/>
  </w:num>
  <w:num w:numId="4">
    <w:abstractNumId w:val="19"/>
  </w:num>
  <w:num w:numId="5">
    <w:abstractNumId w:val="10"/>
  </w:num>
  <w:num w:numId="6">
    <w:abstractNumId w:val="12"/>
  </w:num>
  <w:num w:numId="7">
    <w:abstractNumId w:val="5"/>
  </w:num>
  <w:num w:numId="8">
    <w:abstractNumId w:val="2"/>
  </w:num>
  <w:num w:numId="9">
    <w:abstractNumId w:val="1"/>
  </w:num>
  <w:num w:numId="10">
    <w:abstractNumId w:val="20"/>
  </w:num>
  <w:num w:numId="11">
    <w:abstractNumId w:val="17"/>
  </w:num>
  <w:num w:numId="12">
    <w:abstractNumId w:val="22"/>
  </w:num>
  <w:num w:numId="13">
    <w:abstractNumId w:val="18"/>
  </w:num>
  <w:num w:numId="14">
    <w:abstractNumId w:val="3"/>
  </w:num>
  <w:num w:numId="15">
    <w:abstractNumId w:val="0"/>
    <w:lvlOverride w:ilvl="0">
      <w:startOverride w:val="1"/>
    </w:lvlOverride>
  </w:num>
  <w:num w:numId="16">
    <w:abstractNumId w:val="6"/>
  </w:num>
  <w:num w:numId="17">
    <w:abstractNumId w:val="16"/>
  </w:num>
  <w:num w:numId="18">
    <w:abstractNumId w:val="14"/>
  </w:num>
  <w:num w:numId="19">
    <w:abstractNumId w:val="15"/>
  </w:num>
  <w:num w:numId="20">
    <w:abstractNumId w:val="9"/>
  </w:num>
  <w:num w:numId="21">
    <w:abstractNumId w:val="13"/>
  </w:num>
  <w:num w:numId="22">
    <w:abstractNumId w:val="2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3595B"/>
    <w:rsid w:val="000476FF"/>
    <w:rsid w:val="000501E8"/>
    <w:rsid w:val="000713CF"/>
    <w:rsid w:val="000A5418"/>
    <w:rsid w:val="000E4D03"/>
    <w:rsid w:val="000E579C"/>
    <w:rsid w:val="000F335F"/>
    <w:rsid w:val="000F517C"/>
    <w:rsid w:val="000F5540"/>
    <w:rsid w:val="00106D72"/>
    <w:rsid w:val="00114802"/>
    <w:rsid w:val="001338F0"/>
    <w:rsid w:val="001539DD"/>
    <w:rsid w:val="0015451C"/>
    <w:rsid w:val="001659A8"/>
    <w:rsid w:val="0016643B"/>
    <w:rsid w:val="00171F4E"/>
    <w:rsid w:val="0018250B"/>
    <w:rsid w:val="00196568"/>
    <w:rsid w:val="001A25A5"/>
    <w:rsid w:val="001A2F16"/>
    <w:rsid w:val="001A7D59"/>
    <w:rsid w:val="001B18C2"/>
    <w:rsid w:val="001B3D44"/>
    <w:rsid w:val="001B5566"/>
    <w:rsid w:val="001D5D7E"/>
    <w:rsid w:val="001F0A3F"/>
    <w:rsid w:val="001F374A"/>
    <w:rsid w:val="00200628"/>
    <w:rsid w:val="002010D3"/>
    <w:rsid w:val="002125A3"/>
    <w:rsid w:val="002366D2"/>
    <w:rsid w:val="00243751"/>
    <w:rsid w:val="00244616"/>
    <w:rsid w:val="00254A1B"/>
    <w:rsid w:val="0027283D"/>
    <w:rsid w:val="00277F99"/>
    <w:rsid w:val="0028454D"/>
    <w:rsid w:val="00291C9E"/>
    <w:rsid w:val="002926D4"/>
    <w:rsid w:val="002C07DA"/>
    <w:rsid w:val="002C7EA9"/>
    <w:rsid w:val="002D044C"/>
    <w:rsid w:val="002D1C36"/>
    <w:rsid w:val="002E48E4"/>
    <w:rsid w:val="002F7ED7"/>
    <w:rsid w:val="0033185A"/>
    <w:rsid w:val="00342F20"/>
    <w:rsid w:val="00351462"/>
    <w:rsid w:val="00360A2F"/>
    <w:rsid w:val="003809C7"/>
    <w:rsid w:val="003B6263"/>
    <w:rsid w:val="003C64A7"/>
    <w:rsid w:val="003C689B"/>
    <w:rsid w:val="003D3FDA"/>
    <w:rsid w:val="003F1B45"/>
    <w:rsid w:val="00402333"/>
    <w:rsid w:val="00417799"/>
    <w:rsid w:val="00420822"/>
    <w:rsid w:val="00424D00"/>
    <w:rsid w:val="00445E77"/>
    <w:rsid w:val="00452CF6"/>
    <w:rsid w:val="00453CAB"/>
    <w:rsid w:val="0045458F"/>
    <w:rsid w:val="004633B4"/>
    <w:rsid w:val="004858EA"/>
    <w:rsid w:val="00492829"/>
    <w:rsid w:val="004B3553"/>
    <w:rsid w:val="004B679F"/>
    <w:rsid w:val="004E4CA7"/>
    <w:rsid w:val="004E7C1E"/>
    <w:rsid w:val="004F1FCD"/>
    <w:rsid w:val="004F7D32"/>
    <w:rsid w:val="00530E8C"/>
    <w:rsid w:val="00545933"/>
    <w:rsid w:val="00554DA2"/>
    <w:rsid w:val="00557544"/>
    <w:rsid w:val="00566F3F"/>
    <w:rsid w:val="005838D0"/>
    <w:rsid w:val="00583933"/>
    <w:rsid w:val="00587875"/>
    <w:rsid w:val="00593EFA"/>
    <w:rsid w:val="005A382B"/>
    <w:rsid w:val="005D33E5"/>
    <w:rsid w:val="005E4297"/>
    <w:rsid w:val="00607E2B"/>
    <w:rsid w:val="006139D6"/>
    <w:rsid w:val="0061787B"/>
    <w:rsid w:val="006209FE"/>
    <w:rsid w:val="00623CE1"/>
    <w:rsid w:val="0063062B"/>
    <w:rsid w:val="00650F2D"/>
    <w:rsid w:val="006559DF"/>
    <w:rsid w:val="00661B15"/>
    <w:rsid w:val="00667229"/>
    <w:rsid w:val="00667CE0"/>
    <w:rsid w:val="00672585"/>
    <w:rsid w:val="00680EF2"/>
    <w:rsid w:val="00682BE5"/>
    <w:rsid w:val="00690FED"/>
    <w:rsid w:val="006914E2"/>
    <w:rsid w:val="00692955"/>
    <w:rsid w:val="006939A5"/>
    <w:rsid w:val="006C1063"/>
    <w:rsid w:val="006D3BAE"/>
    <w:rsid w:val="006E65C2"/>
    <w:rsid w:val="006F5239"/>
    <w:rsid w:val="00712451"/>
    <w:rsid w:val="007243D0"/>
    <w:rsid w:val="00731041"/>
    <w:rsid w:val="00732F08"/>
    <w:rsid w:val="00734E2E"/>
    <w:rsid w:val="0074190C"/>
    <w:rsid w:val="0074489B"/>
    <w:rsid w:val="00761C2A"/>
    <w:rsid w:val="00762576"/>
    <w:rsid w:val="007647E7"/>
    <w:rsid w:val="00787D00"/>
    <w:rsid w:val="00791060"/>
    <w:rsid w:val="007B5626"/>
    <w:rsid w:val="007E1BBC"/>
    <w:rsid w:val="007F0D19"/>
    <w:rsid w:val="0080570B"/>
    <w:rsid w:val="00806638"/>
    <w:rsid w:val="008068E7"/>
    <w:rsid w:val="008148E1"/>
    <w:rsid w:val="00821CB7"/>
    <w:rsid w:val="008319BF"/>
    <w:rsid w:val="00843A32"/>
    <w:rsid w:val="00867EE7"/>
    <w:rsid w:val="00871868"/>
    <w:rsid w:val="00873B23"/>
    <w:rsid w:val="0088787A"/>
    <w:rsid w:val="008A0AA8"/>
    <w:rsid w:val="008B0D34"/>
    <w:rsid w:val="008C2F03"/>
    <w:rsid w:val="008D0058"/>
    <w:rsid w:val="008D0E09"/>
    <w:rsid w:val="008E063B"/>
    <w:rsid w:val="008E5E2A"/>
    <w:rsid w:val="00906E44"/>
    <w:rsid w:val="00936D7F"/>
    <w:rsid w:val="00953887"/>
    <w:rsid w:val="00971D8F"/>
    <w:rsid w:val="0097693B"/>
    <w:rsid w:val="0098119B"/>
    <w:rsid w:val="00993355"/>
    <w:rsid w:val="00995F2C"/>
    <w:rsid w:val="009A1A5E"/>
    <w:rsid w:val="009A4A6D"/>
    <w:rsid w:val="009B2C7E"/>
    <w:rsid w:val="009C4AE0"/>
    <w:rsid w:val="009D5419"/>
    <w:rsid w:val="009E64CA"/>
    <w:rsid w:val="009F19E9"/>
    <w:rsid w:val="00A00E09"/>
    <w:rsid w:val="00A13265"/>
    <w:rsid w:val="00A13D67"/>
    <w:rsid w:val="00A27329"/>
    <w:rsid w:val="00A3676E"/>
    <w:rsid w:val="00A647E6"/>
    <w:rsid w:val="00A71136"/>
    <w:rsid w:val="00A83EA8"/>
    <w:rsid w:val="00A85780"/>
    <w:rsid w:val="00A91579"/>
    <w:rsid w:val="00AA2C45"/>
    <w:rsid w:val="00AA474C"/>
    <w:rsid w:val="00AD7E5F"/>
    <w:rsid w:val="00AE5A98"/>
    <w:rsid w:val="00AF119E"/>
    <w:rsid w:val="00AF5DEB"/>
    <w:rsid w:val="00B01AA1"/>
    <w:rsid w:val="00B30C81"/>
    <w:rsid w:val="00B4793B"/>
    <w:rsid w:val="00B6222A"/>
    <w:rsid w:val="00B83FE6"/>
    <w:rsid w:val="00BA307D"/>
    <w:rsid w:val="00BC3EB1"/>
    <w:rsid w:val="00BD6597"/>
    <w:rsid w:val="00BE41FD"/>
    <w:rsid w:val="00BF21D9"/>
    <w:rsid w:val="00BF4039"/>
    <w:rsid w:val="00C07731"/>
    <w:rsid w:val="00C15633"/>
    <w:rsid w:val="00C15799"/>
    <w:rsid w:val="00C269D3"/>
    <w:rsid w:val="00C357AD"/>
    <w:rsid w:val="00C52070"/>
    <w:rsid w:val="00C6069C"/>
    <w:rsid w:val="00C667B5"/>
    <w:rsid w:val="00C71951"/>
    <w:rsid w:val="00C85119"/>
    <w:rsid w:val="00C85C65"/>
    <w:rsid w:val="00CA2FE7"/>
    <w:rsid w:val="00CA7E8B"/>
    <w:rsid w:val="00CD5431"/>
    <w:rsid w:val="00CE1DD9"/>
    <w:rsid w:val="00CF2491"/>
    <w:rsid w:val="00CF35CD"/>
    <w:rsid w:val="00D068D5"/>
    <w:rsid w:val="00D07415"/>
    <w:rsid w:val="00D1252E"/>
    <w:rsid w:val="00D57772"/>
    <w:rsid w:val="00D6020C"/>
    <w:rsid w:val="00D62991"/>
    <w:rsid w:val="00D72AE3"/>
    <w:rsid w:val="00D75A4D"/>
    <w:rsid w:val="00D8478B"/>
    <w:rsid w:val="00D86151"/>
    <w:rsid w:val="00DA7595"/>
    <w:rsid w:val="00DB0A68"/>
    <w:rsid w:val="00DC43A3"/>
    <w:rsid w:val="00DD7C09"/>
    <w:rsid w:val="00DE273D"/>
    <w:rsid w:val="00DF1E5B"/>
    <w:rsid w:val="00E0124F"/>
    <w:rsid w:val="00E13357"/>
    <w:rsid w:val="00E54CC9"/>
    <w:rsid w:val="00E63F1D"/>
    <w:rsid w:val="00E674D3"/>
    <w:rsid w:val="00E70FD0"/>
    <w:rsid w:val="00E77594"/>
    <w:rsid w:val="00E921FF"/>
    <w:rsid w:val="00E95778"/>
    <w:rsid w:val="00EC38A0"/>
    <w:rsid w:val="00EC4B25"/>
    <w:rsid w:val="00F03E44"/>
    <w:rsid w:val="00F30610"/>
    <w:rsid w:val="00F71A74"/>
    <w:rsid w:val="00F74706"/>
    <w:rsid w:val="00F84067"/>
    <w:rsid w:val="00FB3886"/>
    <w:rsid w:val="00FB5DCB"/>
    <w:rsid w:val="00FC5B6D"/>
    <w:rsid w:val="00FC771B"/>
    <w:rsid w:val="00FE3DE5"/>
    <w:rsid w:val="00FF7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0E5462-EF59-45B3-BE27-89B4C265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BalloonText">
    <w:name w:val="Balloon Text"/>
    <w:basedOn w:val="Normal"/>
    <w:link w:val="BalloonTextChar"/>
    <w:semiHidden/>
    <w:unhideWhenUsed/>
    <w:rsid w:val="00106D72"/>
    <w:rPr>
      <w:rFonts w:ascii="Tahoma" w:hAnsi="Tahoma" w:cs="Tahoma"/>
      <w:sz w:val="16"/>
      <w:szCs w:val="16"/>
    </w:rPr>
  </w:style>
  <w:style w:type="character" w:customStyle="1" w:styleId="BalloonTextChar">
    <w:name w:val="Balloon Text Char"/>
    <w:basedOn w:val="DefaultParagraphFont"/>
    <w:link w:val="BalloonText"/>
    <w:semiHidden/>
    <w:rsid w:val="00106D72"/>
    <w:rPr>
      <w:rFonts w:ascii="Tahoma" w:eastAsia="BatangChe" w:hAnsi="Tahoma" w:cs="Tahoma"/>
      <w:sz w:val="16"/>
      <w:szCs w:val="16"/>
    </w:rPr>
  </w:style>
  <w:style w:type="paragraph" w:styleId="ListParagraph">
    <w:name w:val="List Paragraph"/>
    <w:basedOn w:val="Normal"/>
    <w:link w:val="ListParagraphChar"/>
    <w:uiPriority w:val="34"/>
    <w:qFormat/>
    <w:rsid w:val="00667CE0"/>
    <w:pPr>
      <w:ind w:left="720"/>
      <w:contextualSpacing/>
    </w:pPr>
  </w:style>
  <w:style w:type="character" w:customStyle="1" w:styleId="ListParagraphChar">
    <w:name w:val="List Paragraph Char"/>
    <w:link w:val="ListParagraph"/>
    <w:uiPriority w:val="34"/>
    <w:locked/>
    <w:rsid w:val="00667CE0"/>
    <w:rPr>
      <w:rFonts w:eastAsia="BatangChe"/>
      <w:sz w:val="24"/>
      <w:szCs w:val="24"/>
    </w:rPr>
  </w:style>
  <w:style w:type="character" w:customStyle="1" w:styleId="Artref">
    <w:name w:val="Art_ref"/>
    <w:basedOn w:val="DefaultParagraphFont"/>
    <w:rsid w:val="004F1FCD"/>
  </w:style>
  <w:style w:type="character" w:styleId="Hyperlink">
    <w:name w:val="Hyperlink"/>
    <w:basedOn w:val="DefaultParagraphFont"/>
    <w:uiPriority w:val="99"/>
    <w:unhideWhenUsed/>
    <w:rsid w:val="00FF7A01"/>
    <w:rPr>
      <w:color w:val="0000FF" w:themeColor="hyperlink"/>
      <w:u w:val="single"/>
    </w:rPr>
  </w:style>
  <w:style w:type="paragraph" w:customStyle="1" w:styleId="EncAttach">
    <w:name w:val="EncAttach"/>
    <w:basedOn w:val="Normal"/>
    <w:rsid w:val="00277F99"/>
    <w:pPr>
      <w:numPr>
        <w:numId w:val="16"/>
      </w:numPr>
      <w:autoSpaceDE w:val="0"/>
      <w:autoSpaceDN w:val="0"/>
      <w:adjustRightInd w:val="0"/>
      <w:ind w:left="504" w:hanging="504"/>
      <w:jc w:val="both"/>
    </w:pPr>
    <w:rPr>
      <w:rFonts w:eastAsia="Times New Roman"/>
      <w:sz w:val="22"/>
      <w:lang w:val="en-GB"/>
    </w:rPr>
  </w:style>
  <w:style w:type="character" w:styleId="FollowedHyperlink">
    <w:name w:val="FollowedHyperlink"/>
    <w:basedOn w:val="DefaultParagraphFont"/>
    <w:semiHidden/>
    <w:unhideWhenUsed/>
    <w:rsid w:val="00417799"/>
    <w:rPr>
      <w:color w:val="800080" w:themeColor="followedHyperlink"/>
      <w:u w:val="single"/>
    </w:rPr>
  </w:style>
  <w:style w:type="table" w:styleId="TableGrid">
    <w:name w:val="Table Grid"/>
    <w:basedOn w:val="TableNormal"/>
    <w:rsid w:val="00661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E77594"/>
    <w:rPr>
      <w:rFonts w:eastAsia="BatangChe"/>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500687">
      <w:bodyDiv w:val="1"/>
      <w:marLeft w:val="0"/>
      <w:marRight w:val="0"/>
      <w:marTop w:val="0"/>
      <w:marBottom w:val="0"/>
      <w:divBdr>
        <w:top w:val="none" w:sz="0" w:space="0" w:color="auto"/>
        <w:left w:val="none" w:sz="0" w:space="0" w:color="auto"/>
        <w:bottom w:val="none" w:sz="0" w:space="0" w:color="auto"/>
        <w:right w:val="none" w:sz="0" w:space="0" w:color="auto"/>
      </w:divBdr>
    </w:div>
    <w:div w:id="60184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pub/R-REP-F.2416" TargetMode="External"/><Relationship Id="rId13" Type="http://schemas.openxmlformats.org/officeDocument/2006/relationships/hyperlink" Target="https://www.itu.int/md/R15-SG07-C-0102/e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itu.int/md/R15-WP5C-C-0617/e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tu.int/md/R15-2NDWRC19PREPWORK-C-0006/en"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R15-WP5A-C-0976/en" TargetMode="External"/><Relationship Id="rId5" Type="http://schemas.openxmlformats.org/officeDocument/2006/relationships/footnotes" Target="footnotes.xml"/><Relationship Id="rId15" Type="http://schemas.openxmlformats.org/officeDocument/2006/relationships/hyperlink" Target="https://www.itu.int/md/R15-2NDWRC19PREPWORK-C-0018/en" TargetMode="External"/><Relationship Id="rId10" Type="http://schemas.openxmlformats.org/officeDocument/2006/relationships/hyperlink" Target="https://www.itu.int/md/R15-WP1A-C-0340/e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itu.int/pub/R-REP-M.2417" TargetMode="External"/><Relationship Id="rId14" Type="http://schemas.openxmlformats.org/officeDocument/2006/relationships/hyperlink" Target="https://www.itu.int/md/R15-SG07-C-0096/en"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ferrero.huang@srrc.org.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2537</Words>
  <Characters>14463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2</cp:revision>
  <cp:lastPrinted>2004-07-28T02:14:00Z</cp:lastPrinted>
  <dcterms:created xsi:type="dcterms:W3CDTF">2019-01-15T01:09:00Z</dcterms:created>
  <dcterms:modified xsi:type="dcterms:W3CDTF">2019-01-15T01:09:00Z</dcterms:modified>
</cp:coreProperties>
</file>