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The 4th Meeting of the APT Conference Preparatory</w:t>
            </w:r>
          </w:p>
          <w:p w:rsidR="00C516C7" w:rsidRPr="00891D0B" w:rsidRDefault="00C516C7" w:rsidP="00194A2D">
            <w:pPr>
              <w:spacing w:line="0" w:lineRule="atLeast"/>
            </w:pPr>
            <w:r>
              <w:rPr>
                <w:b/>
              </w:rPr>
              <w:t>Group for WRC-19 (APG19-4)</w:t>
            </w:r>
          </w:p>
        </w:tc>
        <w:tc>
          <w:tcPr>
            <w:tcW w:w="2160" w:type="dxa"/>
          </w:tcPr>
          <w:p w:rsidR="00C516C7" w:rsidRPr="00851DD5" w:rsidRDefault="00C516C7" w:rsidP="00194A2D">
            <w:pPr>
              <w:rPr>
                <w:b/>
                <w:bCs/>
                <w:lang w:val="vi-VN"/>
              </w:rPr>
            </w:pPr>
            <w:r w:rsidRPr="00C96104">
              <w:rPr>
                <w:b/>
                <w:bCs/>
                <w:lang w:val="fr-FR"/>
              </w:rPr>
              <w:t>AP</w:t>
            </w:r>
            <w:r w:rsidR="00867511">
              <w:rPr>
                <w:b/>
                <w:bCs/>
                <w:lang w:val="fr-FR"/>
              </w:rPr>
              <w:t>G19-4/</w:t>
            </w:r>
            <w:r w:rsidR="00851DD5">
              <w:rPr>
                <w:b/>
                <w:bCs/>
                <w:lang w:val="vi-VN"/>
              </w:rPr>
              <w:t>OUT</w:t>
            </w:r>
            <w:r w:rsidR="00867511">
              <w:rPr>
                <w:b/>
                <w:bCs/>
                <w:lang w:val="fr-FR"/>
              </w:rPr>
              <w:t>-</w:t>
            </w:r>
            <w:r w:rsidR="001866FF">
              <w:rPr>
                <w:b/>
                <w:bCs/>
                <w:lang w:val="vi-VN"/>
              </w:rPr>
              <w:t>08</w:t>
            </w:r>
          </w:p>
          <w:p w:rsidR="00C516C7" w:rsidRDefault="00C516C7" w:rsidP="00194A2D">
            <w:pPr>
              <w:spacing w:line="0" w:lineRule="atLeast"/>
              <w:rPr>
                <w:b/>
              </w:rPr>
            </w:pP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516C7" w:rsidP="00194A2D">
            <w:pPr>
              <w:rPr>
                <w:b/>
              </w:rPr>
            </w:pPr>
            <w:r>
              <w:t>7 – 12 January 2019</w:t>
            </w:r>
            <w:r w:rsidRPr="00891D0B">
              <w:t xml:space="preserve">, </w:t>
            </w:r>
            <w:r>
              <w:t>Busan, Republic of Korea</w:t>
            </w:r>
          </w:p>
        </w:tc>
        <w:tc>
          <w:tcPr>
            <w:tcW w:w="2160" w:type="dxa"/>
            <w:vAlign w:val="bottom"/>
          </w:tcPr>
          <w:p w:rsidR="00C516C7" w:rsidRDefault="001866FF" w:rsidP="00194A2D">
            <w:r>
              <w:rPr>
                <w:bCs/>
              </w:rPr>
              <w:t>11</w:t>
            </w:r>
            <w:r w:rsidR="00C516C7" w:rsidRPr="007E1FDD">
              <w:rPr>
                <w:bCs/>
              </w:rPr>
              <w:t xml:space="preserve"> </w:t>
            </w:r>
            <w:r w:rsidR="00C516C7">
              <w:rPr>
                <w:bCs/>
              </w:rPr>
              <w:t xml:space="preserve">January </w:t>
            </w:r>
            <w:r w:rsidR="00C516C7" w:rsidRPr="007E1FDD">
              <w:rPr>
                <w:bCs/>
              </w:rPr>
              <w:t>201</w:t>
            </w:r>
            <w:r w:rsidR="00C516C7">
              <w:rPr>
                <w:bCs/>
              </w:rPr>
              <w:t>9</w:t>
            </w:r>
          </w:p>
        </w:tc>
      </w:tr>
    </w:tbl>
    <w:p w:rsidR="00311E8A" w:rsidRDefault="00311E8A" w:rsidP="00CC5AB5">
      <w:pPr>
        <w:jc w:val="center"/>
        <w:rPr>
          <w:lang w:val="en-NZ"/>
        </w:rPr>
      </w:pPr>
    </w:p>
    <w:p w:rsidR="00CC5AB5" w:rsidRDefault="00CC5AB5" w:rsidP="00CC5AB5">
      <w:pPr>
        <w:jc w:val="center"/>
        <w:rPr>
          <w:lang w:val="en-NZ"/>
        </w:rPr>
      </w:pPr>
    </w:p>
    <w:p w:rsidR="00B64A60" w:rsidRPr="002A0111" w:rsidRDefault="002A0111" w:rsidP="00CC5AB5">
      <w:pPr>
        <w:jc w:val="center"/>
        <w:rPr>
          <w:lang w:val="en-NZ" w:eastAsia="ko-KR"/>
        </w:rPr>
      </w:pPr>
      <w:r w:rsidRPr="002A0111">
        <w:rPr>
          <w:lang w:val="en-NZ" w:eastAsia="ko-KR"/>
        </w:rPr>
        <w:t xml:space="preserve">Working Party </w:t>
      </w:r>
      <w:r w:rsidR="001D12E0">
        <w:rPr>
          <w:lang w:val="en-NZ" w:eastAsia="ko-KR"/>
        </w:rPr>
        <w:t>5</w:t>
      </w:r>
    </w:p>
    <w:p w:rsidR="00B64A60" w:rsidRPr="002A0111" w:rsidRDefault="00B64A60" w:rsidP="00CC5AB5">
      <w:pPr>
        <w:jc w:val="center"/>
        <w:rPr>
          <w:bCs/>
          <w:caps/>
          <w:lang w:val="en-NZ"/>
        </w:rPr>
      </w:pPr>
    </w:p>
    <w:p w:rsidR="00B64A60" w:rsidRPr="00441526" w:rsidRDefault="00B64A60" w:rsidP="00CC5AB5">
      <w:pPr>
        <w:jc w:val="center"/>
        <w:rPr>
          <w:b/>
          <w:bCs/>
          <w:caps/>
          <w:lang w:val="en-NZ"/>
        </w:rPr>
      </w:pPr>
      <w:r w:rsidRPr="00441526">
        <w:rPr>
          <w:b/>
          <w:bCs/>
          <w:caps/>
          <w:lang w:val="en-NZ"/>
        </w:rPr>
        <w:t>PRELIMINARY VIEWs on WRC-19 agenda item 1.</w:t>
      </w:r>
      <w:r w:rsidR="001D12E0">
        <w:rPr>
          <w:b/>
          <w:bCs/>
          <w:caps/>
          <w:lang w:val="en-NZ"/>
        </w:rPr>
        <w:t>9.1</w:t>
      </w:r>
    </w:p>
    <w:p w:rsidR="00B64A60" w:rsidRDefault="00B64A60" w:rsidP="00CC5AB5">
      <w:pPr>
        <w:rPr>
          <w:lang w:val="en-NZ"/>
        </w:rPr>
      </w:pPr>
    </w:p>
    <w:p w:rsidR="00CC5AB5" w:rsidRPr="00441526" w:rsidRDefault="00CC5AB5" w:rsidP="00CC5AB5">
      <w:pPr>
        <w:rPr>
          <w:lang w:val="en-NZ"/>
        </w:rPr>
      </w:pPr>
    </w:p>
    <w:p w:rsidR="002A0111" w:rsidRPr="00441526" w:rsidRDefault="002A0111" w:rsidP="00CC5AB5">
      <w:pPr>
        <w:jc w:val="both"/>
        <w:rPr>
          <w:lang w:val="en-NZ"/>
        </w:rPr>
      </w:pPr>
      <w:r w:rsidRPr="00441526">
        <w:rPr>
          <w:b/>
          <w:lang w:val="en-NZ"/>
        </w:rPr>
        <w:t>Agenda Item 1.</w:t>
      </w:r>
      <w:r w:rsidR="00C12859">
        <w:rPr>
          <w:b/>
          <w:lang w:val="en-NZ"/>
        </w:rPr>
        <w:t>9.1</w:t>
      </w:r>
      <w:r w:rsidRPr="00441526">
        <w:rPr>
          <w:b/>
          <w:lang w:val="en-NZ"/>
        </w:rPr>
        <w:t xml:space="preserve">: </w:t>
      </w:r>
    </w:p>
    <w:p w:rsidR="00C12859" w:rsidRPr="00125DE2" w:rsidRDefault="00C12859" w:rsidP="00C12859">
      <w:pPr>
        <w:tabs>
          <w:tab w:val="left" w:pos="1134"/>
          <w:tab w:val="left" w:pos="1871"/>
          <w:tab w:val="left" w:pos="2268"/>
        </w:tabs>
        <w:overflowPunct w:val="0"/>
        <w:autoSpaceDE w:val="0"/>
        <w:autoSpaceDN w:val="0"/>
        <w:adjustRightInd w:val="0"/>
        <w:spacing w:before="240"/>
        <w:textAlignment w:val="baseline"/>
        <w:rPr>
          <w:rFonts w:eastAsia="SimSun"/>
          <w:i/>
          <w:iCs/>
          <w:szCs w:val="20"/>
          <w:lang w:val="en-GB"/>
        </w:rPr>
      </w:pPr>
      <w:r w:rsidRPr="00125DE2">
        <w:rPr>
          <w:rFonts w:eastAsia="SimSun"/>
          <w:i/>
          <w:iCs/>
          <w:szCs w:val="20"/>
          <w:lang w:val="en-GB"/>
        </w:rPr>
        <w:t>1.9</w:t>
      </w:r>
      <w:r w:rsidRPr="00125DE2">
        <w:rPr>
          <w:rFonts w:eastAsia="SimSun"/>
          <w:i/>
          <w:iCs/>
          <w:szCs w:val="20"/>
          <w:lang w:val="en-GB"/>
        </w:rPr>
        <w:tab/>
        <w:t>to consider, based on the results of ITU R studies:</w:t>
      </w:r>
    </w:p>
    <w:p w:rsidR="00C12859" w:rsidRPr="00125DE2" w:rsidRDefault="00C12859" w:rsidP="00C12859">
      <w:pPr>
        <w:tabs>
          <w:tab w:val="left" w:pos="1134"/>
          <w:tab w:val="left" w:pos="1871"/>
          <w:tab w:val="left" w:pos="2268"/>
        </w:tabs>
        <w:overflowPunct w:val="0"/>
        <w:autoSpaceDE w:val="0"/>
        <w:autoSpaceDN w:val="0"/>
        <w:adjustRightInd w:val="0"/>
        <w:spacing w:before="240"/>
        <w:textAlignment w:val="baseline"/>
        <w:rPr>
          <w:rFonts w:eastAsia="SimSun"/>
          <w:b/>
          <w:i/>
          <w:iCs/>
          <w:szCs w:val="20"/>
          <w:lang w:val="en-GB"/>
        </w:rPr>
      </w:pPr>
      <w:r w:rsidRPr="00125DE2">
        <w:rPr>
          <w:rFonts w:eastAsia="SimSun"/>
          <w:i/>
          <w:iCs/>
          <w:szCs w:val="20"/>
          <w:lang w:val="en-GB"/>
        </w:rPr>
        <w:t>1.9.1</w:t>
      </w:r>
      <w:r w:rsidRPr="00125DE2">
        <w:rPr>
          <w:rFonts w:eastAsia="SimSun"/>
          <w:i/>
          <w:iCs/>
          <w:szCs w:val="20"/>
          <w:lang w:val="en-GB"/>
        </w:rPr>
        <w:tab/>
      </w:r>
      <w:proofErr w:type="gramStart"/>
      <w:r w:rsidRPr="00125DE2">
        <w:rPr>
          <w:rFonts w:eastAsia="SimSun"/>
          <w:i/>
          <w:iCs/>
          <w:szCs w:val="20"/>
          <w:lang w:val="en-GB"/>
        </w:rPr>
        <w:t>regulatory</w:t>
      </w:r>
      <w:proofErr w:type="gramEnd"/>
      <w:r w:rsidRPr="00125DE2">
        <w:rPr>
          <w:rFonts w:eastAsia="SimSun"/>
          <w:i/>
          <w:iCs/>
          <w:szCs w:val="20"/>
          <w:lang w:val="en-GB"/>
        </w:rPr>
        <w:t xml:space="preserve"> actions within the frequency band 156-162.05 MHz for autonomous maritime radio devices to protect the GMDSS and automatic identifications system (AIS),</w:t>
      </w:r>
      <w:r w:rsidRPr="00125DE2">
        <w:rPr>
          <w:rFonts w:eastAsia="SimSun"/>
          <w:i/>
          <w:iCs/>
          <w:szCs w:val="20"/>
          <w:lang w:val="en-GB"/>
        </w:rPr>
        <w:br/>
        <w:t xml:space="preserve">in accordance with Resolution </w:t>
      </w:r>
      <w:r w:rsidRPr="00125DE2">
        <w:rPr>
          <w:rFonts w:eastAsia="SimSun"/>
          <w:b/>
          <w:bCs/>
          <w:i/>
          <w:iCs/>
          <w:szCs w:val="20"/>
          <w:lang w:val="en-GB"/>
        </w:rPr>
        <w:t>362 (WRC-15)</w:t>
      </w:r>
      <w:r w:rsidRPr="00125DE2">
        <w:rPr>
          <w:rFonts w:eastAsia="SimSun"/>
          <w:i/>
          <w:iCs/>
          <w:szCs w:val="20"/>
          <w:lang w:val="en-GB"/>
        </w:rPr>
        <w:t>;</w:t>
      </w:r>
    </w:p>
    <w:p w:rsidR="002A0111" w:rsidRPr="00C12859" w:rsidRDefault="00C12859" w:rsidP="00C12859">
      <w:pPr>
        <w:jc w:val="both"/>
      </w:pPr>
      <w:r w:rsidRPr="00125DE2">
        <w:rPr>
          <w:rFonts w:eastAsia="SimSun"/>
          <w:szCs w:val="20"/>
          <w:lang w:val="en-GB"/>
        </w:rPr>
        <w:t xml:space="preserve">Resolution </w:t>
      </w:r>
      <w:r w:rsidRPr="00125DE2">
        <w:rPr>
          <w:rFonts w:ascii="Times New Roman Bold" w:eastAsia="SimSun" w:hAnsi="Times New Roman Bold" w:cs="Times New Roman Bold"/>
          <w:b/>
          <w:bCs/>
          <w:szCs w:val="20"/>
          <w:lang w:val="en-GB"/>
        </w:rPr>
        <w:t xml:space="preserve">362 </w:t>
      </w:r>
      <w:r w:rsidRPr="00125DE2">
        <w:rPr>
          <w:rFonts w:eastAsia="SimSun"/>
          <w:b/>
          <w:bCs/>
          <w:szCs w:val="20"/>
          <w:lang w:val="en-GB"/>
        </w:rPr>
        <w:t>(WRC</w:t>
      </w:r>
      <w:r w:rsidRPr="00125DE2">
        <w:rPr>
          <w:rFonts w:eastAsia="SimSun"/>
          <w:b/>
          <w:bCs/>
          <w:szCs w:val="20"/>
          <w:lang w:val="en-GB"/>
        </w:rPr>
        <w:noBreakHyphen/>
        <w:t>15)</w:t>
      </w:r>
      <w:r w:rsidRPr="00125DE2">
        <w:rPr>
          <w:rFonts w:eastAsia="SimSun"/>
          <w:szCs w:val="20"/>
          <w:lang w:val="en-GB"/>
        </w:rPr>
        <w:t xml:space="preserve"> – </w:t>
      </w:r>
      <w:r w:rsidRPr="00125DE2">
        <w:rPr>
          <w:rFonts w:eastAsia="SimSun"/>
          <w:i/>
          <w:iCs/>
          <w:szCs w:val="20"/>
          <w:lang w:val="en-GB"/>
        </w:rPr>
        <w:t>Autonomous maritime radio devices operating in the frequency band 156-162.05 MHz</w:t>
      </w:r>
    </w:p>
    <w:p w:rsidR="002A0111" w:rsidRPr="00441526" w:rsidRDefault="002A0111" w:rsidP="002A0111">
      <w:pPr>
        <w:jc w:val="both"/>
        <w:rPr>
          <w:lang w:val="en-NZ"/>
        </w:rPr>
      </w:pPr>
    </w:p>
    <w:p w:rsidR="002A0111" w:rsidRDefault="002A0111" w:rsidP="00C12859">
      <w:pPr>
        <w:pStyle w:val="ListParagraph"/>
        <w:numPr>
          <w:ilvl w:val="0"/>
          <w:numId w:val="24"/>
        </w:numPr>
        <w:spacing w:after="120"/>
        <w:jc w:val="both"/>
        <w:rPr>
          <w:b/>
          <w:lang w:val="en-NZ" w:eastAsia="ko-KR"/>
        </w:rPr>
      </w:pPr>
      <w:r w:rsidRPr="00C12859">
        <w:rPr>
          <w:b/>
          <w:lang w:val="en-NZ" w:eastAsia="ko-KR"/>
        </w:rPr>
        <w:t>Background</w:t>
      </w:r>
    </w:p>
    <w:p w:rsidR="0012472B" w:rsidRPr="0012472B" w:rsidRDefault="0012472B" w:rsidP="0012472B">
      <w:pPr>
        <w:spacing w:after="120"/>
        <w:jc w:val="both"/>
        <w:rPr>
          <w:rFonts w:eastAsiaTheme="minorEastAsia"/>
          <w:b/>
          <w:lang w:val="en-NZ" w:eastAsia="zh-CN"/>
        </w:rPr>
      </w:pPr>
      <w:r>
        <w:rPr>
          <w:rFonts w:eastAsiaTheme="minorEastAsia" w:hint="eastAsia"/>
          <w:b/>
          <w:lang w:val="en-NZ" w:eastAsia="zh-CN"/>
        </w:rPr>
        <w:t>1</w:t>
      </w:r>
      <w:r>
        <w:rPr>
          <w:rFonts w:eastAsiaTheme="minorEastAsia"/>
          <w:b/>
          <w:lang w:val="en-NZ" w:eastAsia="zh-CN"/>
        </w:rPr>
        <w:t>.1</w:t>
      </w:r>
      <w:r>
        <w:rPr>
          <w:rFonts w:eastAsiaTheme="minorEastAsia"/>
          <w:b/>
          <w:lang w:val="en-NZ" w:eastAsia="zh-CN"/>
        </w:rPr>
        <w:tab/>
        <w:t>Introduction</w:t>
      </w:r>
    </w:p>
    <w:p w:rsidR="0012472B" w:rsidRPr="0012472B" w:rsidRDefault="00A322D8" w:rsidP="0012472B">
      <w:pPr>
        <w:rPr>
          <w:rFonts w:eastAsiaTheme="minorEastAsia"/>
          <w:iCs/>
          <w:lang w:eastAsia="zh-CN"/>
        </w:rPr>
      </w:pPr>
      <w:r w:rsidRPr="007B1579">
        <w:rPr>
          <w:lang w:val="en-NZ"/>
        </w:rPr>
        <w:t>Applications using autonomous maritime radio devices (AMRD) have developed in recent times. Due to the rapid technical progress and cost-effective production methods, more and more of these applications in the maritime environment are being created and used in operational situations</w:t>
      </w:r>
      <w:r w:rsidR="00037829">
        <w:rPr>
          <w:lang w:val="en-NZ"/>
        </w:rPr>
        <w:t>, including</w:t>
      </w:r>
      <w:r w:rsidR="00747EA8">
        <w:rPr>
          <w:lang w:val="en-NZ"/>
        </w:rPr>
        <w:t xml:space="preserve"> </w:t>
      </w:r>
      <w:r w:rsidR="00037829" w:rsidRPr="0012472B">
        <w:rPr>
          <w:iCs/>
          <w:lang w:eastAsia="zh-CN"/>
        </w:rPr>
        <w:t>automatic identification system (AIS) technology or digital selective calling (DSC) technology, or transmitting synthetic voice messages, or with a combination of those technologies</w:t>
      </w:r>
      <w:r w:rsidR="00037829">
        <w:rPr>
          <w:iCs/>
          <w:lang w:eastAsia="zh-CN"/>
        </w:rPr>
        <w:t>.</w:t>
      </w:r>
      <w:r>
        <w:rPr>
          <w:iCs/>
          <w:lang w:eastAsia="zh-CN"/>
        </w:rPr>
        <w:t xml:space="preserve"> </w:t>
      </w:r>
      <w:r w:rsidR="0012472B" w:rsidRPr="0012472B">
        <w:rPr>
          <w:iCs/>
          <w:lang w:eastAsia="zh-CN"/>
        </w:rPr>
        <w:t>Their number is expected to increase. Some of these devices are not</w:t>
      </w:r>
      <w:r w:rsidR="0012472B" w:rsidRPr="0012472B">
        <w:rPr>
          <w:rFonts w:eastAsiaTheme="minorEastAsia" w:hint="eastAsia"/>
          <w:iCs/>
          <w:lang w:eastAsia="zh-CN"/>
        </w:rPr>
        <w:t xml:space="preserve"> </w:t>
      </w:r>
      <w:r w:rsidR="0012472B" w:rsidRPr="0012472B">
        <w:rPr>
          <w:rFonts w:hint="eastAsia"/>
          <w:iCs/>
          <w:lang w:eastAsia="zh-CN"/>
        </w:rPr>
        <w:t>for</w:t>
      </w:r>
      <w:r w:rsidR="0012472B" w:rsidRPr="0012472B">
        <w:rPr>
          <w:iCs/>
          <w:lang w:eastAsia="zh-CN"/>
        </w:rPr>
        <w:t xml:space="preserve"> the</w:t>
      </w:r>
      <w:r w:rsidR="0012472B" w:rsidRPr="0012472B">
        <w:rPr>
          <w:rFonts w:eastAsiaTheme="minorEastAsia" w:hint="eastAsia"/>
          <w:iCs/>
          <w:lang w:eastAsia="zh-CN"/>
        </w:rPr>
        <w:t xml:space="preserve"> purpose of enhancing the</w:t>
      </w:r>
      <w:r w:rsidR="0012472B" w:rsidRPr="0012472B">
        <w:rPr>
          <w:iCs/>
          <w:lang w:eastAsia="zh-CN"/>
        </w:rPr>
        <w:t xml:space="preserve"> safety of navigation or the purpose of communication between coast stations and ship stations, or between ship stations, or between associated on-board communication stations, or survival craft stations and emergency position-indicating radio beacon stations, but are </w:t>
      </w:r>
      <w:r w:rsidR="0012472B" w:rsidRPr="0012472B">
        <w:rPr>
          <w:rFonts w:eastAsiaTheme="minorEastAsia" w:hint="eastAsia"/>
          <w:iCs/>
          <w:lang w:eastAsia="zh-CN"/>
        </w:rPr>
        <w:t>consum</w:t>
      </w:r>
      <w:r w:rsidR="0012472B" w:rsidRPr="0012472B">
        <w:rPr>
          <w:iCs/>
          <w:lang w:eastAsia="zh-CN"/>
        </w:rPr>
        <w:t xml:space="preserve">ing the spectrum </w:t>
      </w:r>
      <w:r w:rsidR="0012472B" w:rsidRPr="0012472B">
        <w:rPr>
          <w:rFonts w:eastAsiaTheme="minorEastAsia" w:hint="eastAsia"/>
          <w:iCs/>
          <w:lang w:eastAsia="zh-CN"/>
        </w:rPr>
        <w:t xml:space="preserve">and </w:t>
      </w:r>
      <w:r w:rsidR="0012472B" w:rsidRPr="0012472B">
        <w:rPr>
          <w:iCs/>
          <w:lang w:eastAsia="zh-CN"/>
        </w:rPr>
        <w:t>identi</w:t>
      </w:r>
      <w:r w:rsidR="0012472B" w:rsidRPr="0012472B">
        <w:rPr>
          <w:rFonts w:eastAsiaTheme="minorEastAsia" w:hint="eastAsia"/>
          <w:iCs/>
          <w:lang w:eastAsia="zh-CN"/>
        </w:rPr>
        <w:t>ties assigned</w:t>
      </w:r>
      <w:r w:rsidR="0012472B" w:rsidRPr="0012472B">
        <w:rPr>
          <w:iCs/>
          <w:lang w:eastAsia="zh-CN"/>
        </w:rPr>
        <w:t xml:space="preserve"> for maritime mobile service. </w:t>
      </w:r>
    </w:p>
    <w:p w:rsidR="0012472B" w:rsidRPr="0012472B" w:rsidRDefault="0012472B" w:rsidP="0012472B">
      <w:pPr>
        <w:jc w:val="both"/>
        <w:rPr>
          <w:iCs/>
          <w:lang w:eastAsia="zh-CN"/>
        </w:rPr>
      </w:pPr>
      <w:r w:rsidRPr="0012472B">
        <w:rPr>
          <w:lang w:val="en-NZ"/>
        </w:rPr>
        <w:t>In the maritime mobile service, as defined in RR No.</w:t>
      </w:r>
      <w:r w:rsidRPr="0012472B">
        <w:rPr>
          <w:b/>
          <w:lang w:val="en-NZ"/>
        </w:rPr>
        <w:t xml:space="preserve"> 1.28</w:t>
      </w:r>
      <w:r w:rsidRPr="0012472B">
        <w:rPr>
          <w:lang w:val="en-NZ"/>
        </w:rPr>
        <w:t xml:space="preserve">, autonomous maritime radio devices </w:t>
      </w:r>
      <w:r w:rsidRPr="0012472B">
        <w:rPr>
          <w:rFonts w:eastAsiaTheme="minorEastAsia" w:hint="eastAsia"/>
          <w:lang w:val="en-NZ" w:eastAsia="zh-CN"/>
        </w:rPr>
        <w:t xml:space="preserve">(AMRD) </w:t>
      </w:r>
      <w:r w:rsidRPr="0012472B">
        <w:rPr>
          <w:lang w:val="en-NZ"/>
        </w:rPr>
        <w:t>are not listed and are therefore not formally recognised as a station operating under the maritime mobile service.</w:t>
      </w:r>
      <w:r w:rsidRPr="0012472B">
        <w:rPr>
          <w:rFonts w:eastAsiaTheme="minorEastAsia" w:hint="eastAsia"/>
          <w:lang w:val="en-NZ" w:eastAsia="zh-CN"/>
        </w:rPr>
        <w:t xml:space="preserve"> </w:t>
      </w:r>
      <w:r w:rsidRPr="0012472B">
        <w:rPr>
          <w:rFonts w:eastAsiaTheme="minorEastAsia"/>
          <w:lang w:val="en-NZ" w:eastAsia="zh-CN"/>
        </w:rPr>
        <w:t>A</w:t>
      </w:r>
      <w:r w:rsidRPr="0012472B">
        <w:rPr>
          <w:rFonts w:eastAsiaTheme="minorEastAsia" w:hint="eastAsia"/>
          <w:lang w:val="en-NZ" w:eastAsia="zh-CN"/>
        </w:rPr>
        <w:t>nd t</w:t>
      </w:r>
      <w:r w:rsidRPr="0012472B">
        <w:rPr>
          <w:lang w:val="en-NZ"/>
        </w:rPr>
        <w:t>he term AMRD is also not part of the Database of ITU Terms and Definitions.</w:t>
      </w:r>
      <w:r w:rsidRPr="0012472B">
        <w:rPr>
          <w:rFonts w:eastAsiaTheme="minorEastAsia" w:hint="eastAsia"/>
          <w:lang w:val="en-NZ" w:eastAsia="zh-CN"/>
        </w:rPr>
        <w:t xml:space="preserve"> </w:t>
      </w:r>
      <w:r w:rsidRPr="0012472B">
        <w:rPr>
          <w:iCs/>
          <w:lang w:eastAsia="zh-CN"/>
        </w:rPr>
        <w:t>There are general requirements to categorize and regulate the usage of autonomous maritime radio devices.</w:t>
      </w:r>
    </w:p>
    <w:p w:rsidR="009110F4" w:rsidRPr="009110F4" w:rsidRDefault="0012472B" w:rsidP="009110F4">
      <w:pPr>
        <w:spacing w:beforeLines="100" w:before="240" w:after="120"/>
        <w:jc w:val="both"/>
        <w:rPr>
          <w:rFonts w:eastAsiaTheme="minorEastAsia"/>
          <w:b/>
          <w:lang w:eastAsia="zh-CN"/>
        </w:rPr>
      </w:pPr>
      <w:r w:rsidRPr="009110F4">
        <w:rPr>
          <w:lang w:val="en-GB"/>
        </w:rPr>
        <w:t>The purpose of this agenda item is to address unregulated operation of AMRDs in order to enhance safety of navigation through established maritime communications.</w:t>
      </w:r>
      <w:r w:rsidRPr="009110F4">
        <w:rPr>
          <w:rFonts w:eastAsiaTheme="minorEastAsia" w:hint="eastAsia"/>
          <w:lang w:val="en-GB" w:eastAsia="zh-CN"/>
        </w:rPr>
        <w:t xml:space="preserve"> </w:t>
      </w:r>
      <w:r w:rsidRPr="009110F4">
        <w:rPr>
          <w:iCs/>
          <w:lang w:eastAsia="zh-CN"/>
        </w:rPr>
        <w:t xml:space="preserve">The studies contain several steps, including the definition of </w:t>
      </w:r>
      <w:r w:rsidRPr="005F6812">
        <w:t>autonomous maritime radio devices</w:t>
      </w:r>
      <w:r w:rsidRPr="005F6812">
        <w:rPr>
          <w:lang w:eastAsia="zh-CN"/>
        </w:rPr>
        <w:t xml:space="preserve"> (AMRD), the c</w:t>
      </w:r>
      <w:r w:rsidRPr="005F6812">
        <w:t>ompilation of existing</w:t>
      </w:r>
      <w:r w:rsidRPr="005F6812">
        <w:rPr>
          <w:lang w:eastAsia="zh-CN"/>
        </w:rPr>
        <w:t xml:space="preserve"> AMRDs, the d</w:t>
      </w:r>
      <w:r w:rsidRPr="005F6812">
        <w:t>escription of technology</w:t>
      </w:r>
      <w:r w:rsidRPr="005F6812">
        <w:rPr>
          <w:lang w:eastAsia="zh-CN"/>
        </w:rPr>
        <w:t xml:space="preserve">, the categorizing and the evaluation. The target of the studies is to regulate the operation of these kinds of devices by addressing the issues of necessary spectrum allotment and the numbering systems, to ensure the integrity of GMDSS and </w:t>
      </w:r>
      <w:r w:rsidR="00EF7222">
        <w:rPr>
          <w:lang w:eastAsia="zh-CN"/>
        </w:rPr>
        <w:t>AIS.</w:t>
      </w:r>
    </w:p>
    <w:p w:rsidR="00A322D8" w:rsidRPr="003D3525" w:rsidRDefault="00A322D8" w:rsidP="003D3525">
      <w:pPr>
        <w:pStyle w:val="ListParagraph"/>
        <w:numPr>
          <w:ilvl w:val="1"/>
          <w:numId w:val="24"/>
        </w:numPr>
        <w:spacing w:beforeLines="100" w:before="240" w:after="120"/>
        <w:jc w:val="both"/>
        <w:rPr>
          <w:rFonts w:eastAsiaTheme="minorEastAsia"/>
          <w:b/>
          <w:lang w:eastAsia="zh-CN"/>
        </w:rPr>
      </w:pPr>
      <w:r w:rsidRPr="003D3525">
        <w:rPr>
          <w:rFonts w:eastAsiaTheme="minorEastAsia"/>
          <w:b/>
          <w:lang w:eastAsia="zh-CN"/>
        </w:rPr>
        <w:t xml:space="preserve">Progress of ITU-R Studies </w:t>
      </w:r>
    </w:p>
    <w:p w:rsidR="003D3525" w:rsidRPr="003D3525" w:rsidRDefault="003D3525" w:rsidP="003D3525">
      <w:pPr>
        <w:rPr>
          <w:rFonts w:eastAsiaTheme="minorEastAsia"/>
          <w:iCs/>
          <w:lang w:eastAsia="zh-CN"/>
        </w:rPr>
      </w:pPr>
      <w:r w:rsidRPr="003D3525">
        <w:rPr>
          <w:rFonts w:eastAsiaTheme="minorEastAsia" w:hint="eastAsia"/>
          <w:lang w:eastAsia="zh-CN"/>
        </w:rPr>
        <w:lastRenderedPageBreak/>
        <w:t>ITU-R Working Party (WP) 5B has determined the working structure</w:t>
      </w:r>
      <w:r w:rsidRPr="003D3525">
        <w:rPr>
          <w:rFonts w:eastAsiaTheme="minorEastAsia"/>
          <w:lang w:eastAsia="zh-CN"/>
        </w:rPr>
        <w:t xml:space="preserve"> and</w:t>
      </w:r>
      <w:r w:rsidRPr="003D3525">
        <w:rPr>
          <w:rFonts w:eastAsiaTheme="minorEastAsia" w:hint="eastAsia"/>
          <w:lang w:eastAsia="zh-CN"/>
        </w:rPr>
        <w:t xml:space="preserve"> the definition of AMRD</w:t>
      </w:r>
      <w:r w:rsidRPr="003D3525">
        <w:rPr>
          <w:rFonts w:eastAsiaTheme="minorEastAsia" w:hint="eastAsia"/>
          <w:iCs/>
          <w:lang w:eastAsia="zh-CN"/>
        </w:rPr>
        <w:t>.</w:t>
      </w:r>
      <w:r w:rsidRPr="003D3525">
        <w:rPr>
          <w:rFonts w:eastAsiaTheme="minorEastAsia"/>
          <w:iCs/>
          <w:lang w:eastAsia="zh-CN"/>
        </w:rPr>
        <w:t xml:space="preserve"> The categorization of AMRD is also under consideration in ITU, </w:t>
      </w:r>
      <w:r w:rsidR="00012077">
        <w:rPr>
          <w:rFonts w:eastAsiaTheme="minorEastAsia"/>
          <w:iCs/>
          <w:lang w:eastAsia="zh-CN"/>
        </w:rPr>
        <w:t>International Maritime Organization</w:t>
      </w:r>
      <w:r w:rsidR="009110F4">
        <w:rPr>
          <w:rFonts w:eastAsiaTheme="minorEastAsia"/>
          <w:iCs/>
          <w:lang w:eastAsia="zh-CN"/>
        </w:rPr>
        <w:t xml:space="preserve"> (IMO)</w:t>
      </w:r>
      <w:r w:rsidR="00012077">
        <w:rPr>
          <w:rFonts w:eastAsiaTheme="minorEastAsia"/>
          <w:iCs/>
          <w:lang w:eastAsia="zh-CN"/>
        </w:rPr>
        <w:t xml:space="preserve"> </w:t>
      </w:r>
      <w:r w:rsidRPr="003D3525">
        <w:rPr>
          <w:rFonts w:eastAsiaTheme="minorEastAsia"/>
          <w:iCs/>
          <w:lang w:eastAsia="zh-CN"/>
        </w:rPr>
        <w:t>and</w:t>
      </w:r>
      <w:r w:rsidR="00D42A15" w:rsidRPr="00D42A15">
        <w:rPr>
          <w:rFonts w:eastAsiaTheme="minorEastAsia"/>
          <w:iCs/>
          <w:lang w:eastAsia="zh-CN"/>
        </w:rPr>
        <w:t xml:space="preserve"> </w:t>
      </w:r>
      <w:r w:rsidR="00D42A15" w:rsidRPr="007877A7">
        <w:rPr>
          <w:rFonts w:eastAsiaTheme="minorEastAsia"/>
          <w:iCs/>
          <w:lang w:eastAsia="zh-CN"/>
        </w:rPr>
        <w:t xml:space="preserve">International Association of </w:t>
      </w:r>
      <w:r w:rsidR="007877A7">
        <w:rPr>
          <w:rFonts w:eastAsiaTheme="minorEastAsia"/>
          <w:iCs/>
          <w:lang w:eastAsia="zh-CN"/>
        </w:rPr>
        <w:t xml:space="preserve">Marine Aids to Navigation and </w:t>
      </w:r>
      <w:r w:rsidR="00D42A15" w:rsidRPr="007877A7">
        <w:rPr>
          <w:rFonts w:eastAsiaTheme="minorEastAsia"/>
          <w:iCs/>
          <w:lang w:eastAsia="zh-CN"/>
        </w:rPr>
        <w:t>Lighthouse Authorities</w:t>
      </w:r>
      <w:r w:rsidR="009110F4" w:rsidRPr="007877A7">
        <w:rPr>
          <w:rFonts w:eastAsiaTheme="minorEastAsia"/>
          <w:iCs/>
          <w:lang w:eastAsia="zh-CN"/>
        </w:rPr>
        <w:t xml:space="preserve"> (IALA)</w:t>
      </w:r>
      <w:r w:rsidRPr="003D3525">
        <w:rPr>
          <w:rFonts w:eastAsiaTheme="minorEastAsia"/>
          <w:iCs/>
          <w:lang w:eastAsia="zh-CN"/>
        </w:rPr>
        <w:t>.</w:t>
      </w:r>
    </w:p>
    <w:p w:rsidR="003D3525" w:rsidRDefault="003D3525" w:rsidP="003D3525">
      <w:pPr>
        <w:pStyle w:val="enumlev1"/>
        <w:ind w:left="0" w:firstLine="0"/>
        <w:rPr>
          <w:szCs w:val="24"/>
          <w:lang w:val="en-US" w:eastAsia="zh-CN"/>
        </w:rPr>
      </w:pPr>
      <w:r w:rsidRPr="00067F97">
        <w:rPr>
          <w:szCs w:val="24"/>
          <w:lang w:val="en-US" w:eastAsia="zh-CN"/>
        </w:rPr>
        <w:t xml:space="preserve">ITU-R WP 5B meeting </w:t>
      </w:r>
      <w:r w:rsidR="00881123">
        <w:rPr>
          <w:szCs w:val="24"/>
          <w:lang w:val="en-US" w:eastAsia="zh-CN"/>
        </w:rPr>
        <w:t>finalized the</w:t>
      </w:r>
      <w:r w:rsidRPr="00067F97">
        <w:rPr>
          <w:szCs w:val="24"/>
          <w:lang w:val="en-US" w:eastAsia="zh-CN"/>
        </w:rPr>
        <w:t xml:space="preserve"> draft CPM </w:t>
      </w:r>
      <w:r w:rsidR="00881123">
        <w:rPr>
          <w:szCs w:val="24"/>
          <w:lang w:val="en-US" w:eastAsia="zh-CN"/>
        </w:rPr>
        <w:t>report</w:t>
      </w:r>
      <w:r w:rsidR="00881123" w:rsidRPr="00067F97">
        <w:rPr>
          <w:szCs w:val="24"/>
          <w:lang w:val="en-US" w:eastAsia="zh-CN"/>
        </w:rPr>
        <w:t xml:space="preserve"> </w:t>
      </w:r>
      <w:r w:rsidRPr="00067F97">
        <w:rPr>
          <w:szCs w:val="24"/>
          <w:lang w:val="en-US" w:eastAsia="zh-CN"/>
        </w:rPr>
        <w:t xml:space="preserve">of Agenda Item 1.9.1, in which </w:t>
      </w:r>
      <w:r w:rsidR="00881123">
        <w:rPr>
          <w:szCs w:val="24"/>
          <w:lang w:val="en-US" w:eastAsia="zh-CN"/>
        </w:rPr>
        <w:t xml:space="preserve">the definition of AMRD and four </w:t>
      </w:r>
      <w:r w:rsidRPr="00067F97">
        <w:rPr>
          <w:szCs w:val="24"/>
          <w:lang w:val="en-US" w:eastAsia="zh-CN"/>
        </w:rPr>
        <w:t xml:space="preserve">methods regarding the different types of </w:t>
      </w:r>
      <w:r>
        <w:rPr>
          <w:szCs w:val="24"/>
          <w:lang w:val="en-US" w:eastAsia="zh-CN"/>
        </w:rPr>
        <w:t>AMRD and the technologies used</w:t>
      </w:r>
      <w:r w:rsidRPr="00067F97">
        <w:rPr>
          <w:szCs w:val="24"/>
          <w:lang w:val="en-US" w:eastAsia="zh-CN"/>
        </w:rPr>
        <w:t xml:space="preserve"> were proposed</w:t>
      </w:r>
      <w:r w:rsidR="009E04AC">
        <w:rPr>
          <w:szCs w:val="24"/>
          <w:lang w:val="en-US" w:eastAsia="zh-CN"/>
        </w:rPr>
        <w:t xml:space="preserve"> and detailed in the </w:t>
      </w:r>
      <w:r w:rsidR="002D4BB8">
        <w:rPr>
          <w:szCs w:val="24"/>
          <w:lang w:val="en-US" w:eastAsia="zh-CN"/>
        </w:rPr>
        <w:t xml:space="preserve">section 5/1.9.1/4 of the </w:t>
      </w:r>
      <w:r w:rsidR="009E04AC">
        <w:rPr>
          <w:szCs w:val="24"/>
          <w:lang w:val="en-US" w:eastAsia="zh-CN"/>
        </w:rPr>
        <w:t>CPM report for agenda item 1.9.1</w:t>
      </w:r>
      <w:r w:rsidRPr="00067F97">
        <w:rPr>
          <w:szCs w:val="24"/>
          <w:lang w:val="en-US" w:eastAsia="zh-CN"/>
        </w:rPr>
        <w:t>.</w:t>
      </w:r>
    </w:p>
    <w:p w:rsidR="00881123" w:rsidRPr="00B80A54" w:rsidRDefault="00881123" w:rsidP="00881123">
      <w:r w:rsidRPr="00B80A54">
        <w:t xml:space="preserve">One method considers amendments to the footnote </w:t>
      </w:r>
      <w:r w:rsidRPr="00B80A54">
        <w:rPr>
          <w:i/>
        </w:rPr>
        <w:t>f)</w:t>
      </w:r>
      <w:r w:rsidRPr="00B80A54">
        <w:t xml:space="preserve"> in RR Appendix </w:t>
      </w:r>
      <w:r w:rsidRPr="00B80A54">
        <w:rPr>
          <w:b/>
          <w:bCs/>
        </w:rPr>
        <w:t>18</w:t>
      </w:r>
      <w:r w:rsidRPr="00B80A54">
        <w:t xml:space="preserve"> to allow</w:t>
      </w:r>
      <w:r w:rsidR="009110F4" w:rsidRPr="009110F4">
        <w:t xml:space="preserve"> </w:t>
      </w:r>
      <w:r w:rsidR="009110F4">
        <w:t>G</w:t>
      </w:r>
      <w:r w:rsidR="009110F4" w:rsidRPr="00B80A54">
        <w:t xml:space="preserve">roup </w:t>
      </w:r>
      <w:proofErr w:type="gramStart"/>
      <w:r w:rsidR="009110F4" w:rsidRPr="00B80A54">
        <w:t>A</w:t>
      </w:r>
      <w:proofErr w:type="gramEnd"/>
      <w:r w:rsidRPr="00B80A54">
        <w:t xml:space="preserve"> AMRD to operate on certain channels.</w:t>
      </w:r>
    </w:p>
    <w:p w:rsidR="003D3525" w:rsidRPr="00C923EA" w:rsidRDefault="00881123" w:rsidP="00881123">
      <w:pPr>
        <w:pStyle w:val="enumlev1"/>
        <w:ind w:left="0" w:firstLine="0"/>
        <w:rPr>
          <w:szCs w:val="24"/>
          <w:lang w:val="en-US" w:eastAsia="zh-CN"/>
        </w:rPr>
      </w:pPr>
      <w:r w:rsidRPr="00B80A54">
        <w:t xml:space="preserve">Three methods consider the harmonisation of the spectrum use for </w:t>
      </w:r>
      <w:r w:rsidR="009110F4">
        <w:t>G</w:t>
      </w:r>
      <w:r w:rsidR="009110F4" w:rsidRPr="009110F4">
        <w:t>roup B</w:t>
      </w:r>
      <w:r w:rsidR="009110F4" w:rsidRPr="00B80A54">
        <w:t xml:space="preserve"> </w:t>
      </w:r>
      <w:r w:rsidRPr="00B80A54">
        <w:t xml:space="preserve">AMRD. One method aims to use channel 2006 as listed in RR Appendix </w:t>
      </w:r>
      <w:r w:rsidRPr="00B80A54">
        <w:rPr>
          <w:b/>
        </w:rPr>
        <w:t>18</w:t>
      </w:r>
      <w:r w:rsidRPr="00B80A54">
        <w:t xml:space="preserve"> for AIS technology. The second method aims to use channels 2078, 2019 and 2079 as listed in RR Appendix </w:t>
      </w:r>
      <w:r w:rsidRPr="00B80A54">
        <w:rPr>
          <w:b/>
          <w:bCs/>
        </w:rPr>
        <w:t>18</w:t>
      </w:r>
      <w:r w:rsidRPr="00B80A54">
        <w:t xml:space="preserve"> for non-AIS technology. The third method aims to use the frequency band 161.4375 – 161.4875 MHz, which is not part of RR Appendix </w:t>
      </w:r>
      <w:r w:rsidRPr="00B80A54">
        <w:rPr>
          <w:b/>
        </w:rPr>
        <w:t>18</w:t>
      </w:r>
      <w:r w:rsidRPr="00B80A54">
        <w:t>, for non-AIS technology.</w:t>
      </w:r>
    </w:p>
    <w:p w:rsidR="003D3525" w:rsidRPr="00067F97" w:rsidRDefault="003D3525" w:rsidP="003D3525">
      <w:pPr>
        <w:pStyle w:val="enumlev1"/>
        <w:ind w:left="0" w:firstLine="0"/>
        <w:rPr>
          <w:szCs w:val="24"/>
          <w:lang w:val="en-US" w:eastAsia="zh-CN"/>
        </w:rPr>
      </w:pPr>
      <w:r w:rsidRPr="00067F97">
        <w:rPr>
          <w:szCs w:val="24"/>
          <w:lang w:val="en-US" w:eastAsia="zh-CN"/>
        </w:rPr>
        <w:t xml:space="preserve">However, further discussions are still needed on the </w:t>
      </w:r>
      <w:r>
        <w:rPr>
          <w:szCs w:val="24"/>
          <w:lang w:val="en-US" w:eastAsia="zh-CN"/>
        </w:rPr>
        <w:t>categorization and numbering schemes of AMRD</w:t>
      </w:r>
      <w:r w:rsidRPr="00067F97">
        <w:rPr>
          <w:szCs w:val="24"/>
          <w:lang w:val="en-US" w:eastAsia="zh-CN"/>
        </w:rPr>
        <w:t>.</w:t>
      </w:r>
      <w:r>
        <w:rPr>
          <w:szCs w:val="24"/>
          <w:lang w:val="en-US" w:eastAsia="zh-CN"/>
        </w:rPr>
        <w:t xml:space="preserve"> ITU is seeking information from IMO on the list of applications for Group A and Group B AMRD, and whether these applications are conditional</w:t>
      </w:r>
      <w:r w:rsidRPr="00067F97">
        <w:rPr>
          <w:szCs w:val="24"/>
          <w:lang w:val="en-US" w:eastAsia="zh-CN"/>
        </w:rPr>
        <w:t>.</w:t>
      </w:r>
    </w:p>
    <w:p w:rsidR="003D3525" w:rsidRPr="00067F97" w:rsidRDefault="003D3525" w:rsidP="00DB3E44">
      <w:pPr>
        <w:pStyle w:val="enumlev1"/>
        <w:ind w:left="0" w:firstLine="0"/>
        <w:rPr>
          <w:szCs w:val="24"/>
          <w:lang w:val="en-US" w:eastAsia="zh-CN"/>
        </w:rPr>
      </w:pPr>
      <w:r>
        <w:rPr>
          <w:szCs w:val="24"/>
          <w:lang w:val="en-US" w:eastAsia="zh-CN"/>
        </w:rPr>
        <w:t>T</w:t>
      </w:r>
      <w:r w:rsidRPr="00067F97">
        <w:rPr>
          <w:szCs w:val="24"/>
          <w:lang w:val="en-US" w:eastAsia="zh-CN"/>
        </w:rPr>
        <w:t xml:space="preserve">he </w:t>
      </w:r>
      <w:r>
        <w:rPr>
          <w:szCs w:val="24"/>
          <w:lang w:val="en-US" w:eastAsia="zh-CN"/>
        </w:rPr>
        <w:t xml:space="preserve">Working Party 5B </w:t>
      </w:r>
      <w:r w:rsidRPr="00067F97">
        <w:rPr>
          <w:szCs w:val="24"/>
          <w:lang w:val="en-US" w:eastAsia="zh-CN"/>
        </w:rPr>
        <w:t xml:space="preserve">meeting </w:t>
      </w:r>
      <w:r>
        <w:rPr>
          <w:szCs w:val="24"/>
          <w:lang w:val="en-US" w:eastAsia="zh-CN"/>
        </w:rPr>
        <w:t>in November 2018 updated the working document towards a preliminary draft new Recommendation ITU-R M</w:t>
      </w:r>
      <w:proofErr w:type="gramStart"/>
      <w:r>
        <w:rPr>
          <w:szCs w:val="24"/>
          <w:lang w:val="en-US" w:eastAsia="zh-CN"/>
        </w:rPr>
        <w:t>.[</w:t>
      </w:r>
      <w:proofErr w:type="gramEnd"/>
      <w:r>
        <w:rPr>
          <w:szCs w:val="24"/>
          <w:lang w:val="en-US" w:eastAsia="zh-CN"/>
        </w:rPr>
        <w:t>AMRD] and the working document towards a preliminary draft new Report ITU-R M.[AMRD]. Proposed revisions on related recommendations were also considered.</w:t>
      </w:r>
    </w:p>
    <w:p w:rsidR="00A84B4D" w:rsidRPr="00067F97" w:rsidRDefault="003D3525" w:rsidP="003D3525">
      <w:pPr>
        <w:pStyle w:val="enumlev1"/>
        <w:ind w:left="0" w:firstLine="0"/>
        <w:rPr>
          <w:szCs w:val="24"/>
          <w:lang w:val="en-US" w:eastAsia="zh-CN"/>
        </w:rPr>
      </w:pPr>
      <w:r w:rsidRPr="00067F97">
        <w:rPr>
          <w:szCs w:val="24"/>
          <w:lang w:val="en-US" w:eastAsia="zh-CN"/>
        </w:rPr>
        <w:t xml:space="preserve">The progress of this Agenda Item was liaised with IMO, IALA, </w:t>
      </w:r>
      <w:r w:rsidR="00DB3E44">
        <w:rPr>
          <w:szCs w:val="24"/>
          <w:lang w:val="en-US" w:eastAsia="zh-CN"/>
        </w:rPr>
        <w:t>World Meteorological Organization (</w:t>
      </w:r>
      <w:r w:rsidRPr="00067F97">
        <w:rPr>
          <w:szCs w:val="24"/>
          <w:lang w:val="en-US" w:eastAsia="zh-CN"/>
        </w:rPr>
        <w:t>WMO</w:t>
      </w:r>
      <w:r w:rsidR="00DB3E44">
        <w:rPr>
          <w:szCs w:val="24"/>
          <w:lang w:val="en-US" w:eastAsia="zh-CN"/>
        </w:rPr>
        <w:t>)</w:t>
      </w:r>
      <w:r w:rsidRPr="00067F97">
        <w:rPr>
          <w:szCs w:val="24"/>
          <w:lang w:val="en-US" w:eastAsia="zh-CN"/>
        </w:rPr>
        <w:t xml:space="preserve"> and </w:t>
      </w:r>
      <w:r w:rsidR="00B735DD">
        <w:rPr>
          <w:szCs w:val="24"/>
          <w:lang w:val="en-US" w:eastAsia="zh-CN"/>
        </w:rPr>
        <w:t xml:space="preserve">International Maritime </w:t>
      </w:r>
      <w:r w:rsidR="00ED0384">
        <w:rPr>
          <w:szCs w:val="24"/>
          <w:lang w:val="en-US" w:eastAsia="zh-CN"/>
        </w:rPr>
        <w:t>Radio Associat</w:t>
      </w:r>
      <w:r w:rsidR="003713DA">
        <w:rPr>
          <w:szCs w:val="24"/>
          <w:lang w:val="en-US" w:eastAsia="zh-CN"/>
        </w:rPr>
        <w:t>io</w:t>
      </w:r>
      <w:r w:rsidR="00ED0384">
        <w:rPr>
          <w:szCs w:val="24"/>
          <w:lang w:val="en-US" w:eastAsia="zh-CN"/>
        </w:rPr>
        <w:t>n</w:t>
      </w:r>
      <w:r w:rsidR="007877A7">
        <w:rPr>
          <w:szCs w:val="24"/>
          <w:lang w:val="en-US" w:eastAsia="zh-CN"/>
        </w:rPr>
        <w:t xml:space="preserve"> </w:t>
      </w:r>
      <w:r w:rsidR="00DB3E44">
        <w:rPr>
          <w:szCs w:val="24"/>
          <w:lang w:val="en-US" w:eastAsia="zh-CN"/>
        </w:rPr>
        <w:t>(</w:t>
      </w:r>
      <w:r w:rsidRPr="00067F97">
        <w:rPr>
          <w:szCs w:val="24"/>
          <w:lang w:val="en-US" w:eastAsia="zh-CN"/>
        </w:rPr>
        <w:t>CIRM</w:t>
      </w:r>
      <w:r w:rsidR="00DB3E44">
        <w:rPr>
          <w:szCs w:val="24"/>
          <w:lang w:val="en-US" w:eastAsia="zh-CN"/>
        </w:rPr>
        <w:t>)</w:t>
      </w:r>
      <w:r w:rsidRPr="00067F97">
        <w:rPr>
          <w:szCs w:val="24"/>
          <w:lang w:val="en-US" w:eastAsia="zh-CN"/>
        </w:rPr>
        <w:t>.</w:t>
      </w:r>
    </w:p>
    <w:p w:rsidR="003D3525" w:rsidRPr="003D3525" w:rsidRDefault="003D3525" w:rsidP="003D3525">
      <w:pPr>
        <w:spacing w:beforeLines="100" w:before="240" w:after="120"/>
        <w:jc w:val="both"/>
        <w:rPr>
          <w:rFonts w:eastAsiaTheme="minorEastAsia"/>
          <w:b/>
          <w:lang w:eastAsia="zh-CN"/>
        </w:rPr>
      </w:pPr>
    </w:p>
    <w:p w:rsidR="00C12859" w:rsidRPr="00AE3B22" w:rsidRDefault="00C12859" w:rsidP="00C12859">
      <w:pPr>
        <w:spacing w:beforeLines="100" w:before="240" w:after="120"/>
        <w:jc w:val="both"/>
        <w:rPr>
          <w:rFonts w:eastAsiaTheme="minorEastAsia"/>
          <w:b/>
          <w:lang w:eastAsia="zh-CN"/>
        </w:rPr>
      </w:pPr>
      <w:r>
        <w:rPr>
          <w:rFonts w:eastAsiaTheme="minorEastAsia"/>
          <w:b/>
          <w:lang w:eastAsia="zh-CN"/>
        </w:rPr>
        <w:t xml:space="preserve">1.3 </w:t>
      </w:r>
      <w:r>
        <w:rPr>
          <w:rFonts w:eastAsiaTheme="minorEastAsia"/>
          <w:b/>
          <w:lang w:eastAsia="zh-CN"/>
        </w:rPr>
        <w:tab/>
        <w:t>List of relevant ITU-R Reports/Recommendations</w:t>
      </w:r>
    </w:p>
    <w:p w:rsidR="00C12859" w:rsidRPr="005F6812" w:rsidRDefault="00C12859" w:rsidP="00C12859">
      <w:pPr>
        <w:pStyle w:val="enumlev1"/>
        <w:numPr>
          <w:ilvl w:val="0"/>
          <w:numId w:val="23"/>
        </w:numPr>
        <w:rPr>
          <w:iCs/>
          <w:szCs w:val="24"/>
          <w:lang w:eastAsia="zh-CN"/>
        </w:rPr>
      </w:pPr>
      <w:r w:rsidRPr="005F6812">
        <w:t>Recommendation ITU-R M.</w:t>
      </w:r>
      <w:r w:rsidRPr="005F6812">
        <w:rPr>
          <w:lang w:eastAsia="zh-CN"/>
        </w:rPr>
        <w:t>493-14:</w:t>
      </w:r>
      <w:r w:rsidRPr="005F6812">
        <w:rPr>
          <w:rFonts w:hint="eastAsia"/>
          <w:lang w:eastAsia="zh-CN"/>
        </w:rPr>
        <w:t xml:space="preserve"> </w:t>
      </w:r>
      <w:r w:rsidRPr="005F6812">
        <w:rPr>
          <w:i/>
          <w:lang w:eastAsia="zh-CN"/>
        </w:rPr>
        <w:t>Digital selective-calling system for use in the maritime mobile service</w:t>
      </w:r>
      <w:r w:rsidRPr="005F6812">
        <w:rPr>
          <w:rFonts w:hint="eastAsia"/>
          <w:i/>
          <w:lang w:eastAsia="zh-CN"/>
        </w:rPr>
        <w:t>;</w:t>
      </w:r>
    </w:p>
    <w:p w:rsidR="00C12859" w:rsidRPr="005F6812" w:rsidRDefault="00C12859" w:rsidP="00C12859">
      <w:pPr>
        <w:pStyle w:val="enumlev1"/>
        <w:numPr>
          <w:ilvl w:val="0"/>
          <w:numId w:val="23"/>
        </w:numPr>
        <w:rPr>
          <w:iCs/>
          <w:szCs w:val="24"/>
          <w:lang w:eastAsia="zh-CN"/>
        </w:rPr>
      </w:pPr>
      <w:r w:rsidRPr="005F6812">
        <w:t>Recommendation ITU-R M.</w:t>
      </w:r>
      <w:r w:rsidRPr="005F6812">
        <w:rPr>
          <w:lang w:eastAsia="zh-CN"/>
        </w:rPr>
        <w:t>585</w:t>
      </w:r>
      <w:r w:rsidRPr="005F6812">
        <w:t>-</w:t>
      </w:r>
      <w:r w:rsidRPr="005F6812">
        <w:rPr>
          <w:lang w:eastAsia="zh-CN"/>
        </w:rPr>
        <w:t>7</w:t>
      </w:r>
      <w:r w:rsidRPr="005F6812">
        <w:t xml:space="preserve">: </w:t>
      </w:r>
      <w:r w:rsidRPr="005F6812">
        <w:rPr>
          <w:i/>
          <w:iCs/>
          <w:lang w:eastAsia="zh-CN"/>
        </w:rPr>
        <w:t>Assignment and use of identities in the maritime mobile service; or the revised version</w:t>
      </w:r>
      <w:r w:rsidRPr="005F6812">
        <w:rPr>
          <w:lang w:eastAsia="zh-CN"/>
        </w:rPr>
        <w:t>;</w:t>
      </w:r>
    </w:p>
    <w:p w:rsidR="00C12859" w:rsidRDefault="00C12859" w:rsidP="00C12859">
      <w:pPr>
        <w:pStyle w:val="enumlev1"/>
        <w:numPr>
          <w:ilvl w:val="0"/>
          <w:numId w:val="23"/>
        </w:numPr>
        <w:rPr>
          <w:lang w:eastAsia="zh-CN"/>
        </w:rPr>
      </w:pPr>
      <w:r w:rsidRPr="005F6812">
        <w:t>Recommendation ITU-R M.</w:t>
      </w:r>
      <w:r w:rsidRPr="005F6812">
        <w:rPr>
          <w:lang w:eastAsia="zh-CN"/>
        </w:rPr>
        <w:t>1371</w:t>
      </w:r>
      <w:r w:rsidRPr="005F6812">
        <w:t>-</w:t>
      </w:r>
      <w:r w:rsidRPr="005F6812">
        <w:rPr>
          <w:lang w:eastAsia="zh-CN"/>
        </w:rPr>
        <w:t>5</w:t>
      </w:r>
      <w:r w:rsidRPr="005F6812">
        <w:t xml:space="preserve">: </w:t>
      </w:r>
      <w:r w:rsidRPr="005F6812">
        <w:rPr>
          <w:i/>
          <w:iCs/>
          <w:lang w:eastAsia="zh-CN"/>
        </w:rPr>
        <w:t>Technical characteristics for an automatic identification system using time-division multiple access in the VHF maritime mobile band; or the revised version</w:t>
      </w:r>
      <w:r w:rsidRPr="005F6812">
        <w:rPr>
          <w:lang w:eastAsia="zh-CN"/>
        </w:rPr>
        <w:t>;</w:t>
      </w:r>
    </w:p>
    <w:p w:rsidR="00311EF7" w:rsidRPr="005E7B7E" w:rsidRDefault="00311EF7" w:rsidP="00C12859">
      <w:pPr>
        <w:pStyle w:val="enumlev1"/>
        <w:numPr>
          <w:ilvl w:val="0"/>
          <w:numId w:val="23"/>
        </w:numPr>
        <w:rPr>
          <w:lang w:eastAsia="zh-CN"/>
        </w:rPr>
      </w:pPr>
      <w:r w:rsidRPr="005E7B7E">
        <w:rPr>
          <w:rFonts w:hint="eastAsia"/>
          <w:lang w:eastAsia="zh-CN"/>
        </w:rPr>
        <w:t>P</w:t>
      </w:r>
      <w:r w:rsidRPr="005E7B7E">
        <w:rPr>
          <w:lang w:eastAsia="zh-CN"/>
        </w:rPr>
        <w:t>reliminary draft new</w:t>
      </w:r>
      <w:r w:rsidR="00D24A0D" w:rsidRPr="005E7B7E">
        <w:rPr>
          <w:lang w:eastAsia="zh-CN"/>
        </w:rPr>
        <w:t xml:space="preserve"> Recommendation ITU-R M.[AMRD]: </w:t>
      </w:r>
      <w:r w:rsidR="00D24A0D" w:rsidRPr="005E7B7E">
        <w:rPr>
          <w:i/>
          <w:lang w:eastAsia="zh-CN"/>
        </w:rPr>
        <w:t>Autonomous maritime radio devices</w:t>
      </w:r>
      <w:r w:rsidR="00D24A0D" w:rsidRPr="005E7B7E">
        <w:rPr>
          <w:lang w:eastAsia="zh-CN"/>
        </w:rPr>
        <w:t>;</w:t>
      </w:r>
    </w:p>
    <w:p w:rsidR="00C12859" w:rsidRPr="005F6812" w:rsidRDefault="00C12859" w:rsidP="00C12859">
      <w:pPr>
        <w:pStyle w:val="enumlev1"/>
        <w:numPr>
          <w:ilvl w:val="0"/>
          <w:numId w:val="23"/>
        </w:numPr>
        <w:rPr>
          <w:iCs/>
          <w:szCs w:val="24"/>
          <w:lang w:eastAsia="zh-CN"/>
        </w:rPr>
      </w:pPr>
      <w:r w:rsidRPr="005F6812">
        <w:rPr>
          <w:lang w:eastAsia="zh-CN"/>
        </w:rPr>
        <w:t xml:space="preserve">Preliminary draft new </w:t>
      </w:r>
      <w:r w:rsidRPr="005F6812">
        <w:rPr>
          <w:iCs/>
          <w:szCs w:val="24"/>
          <w:lang w:eastAsia="zh-CN"/>
        </w:rPr>
        <w:t>Report ITU-R M.</w:t>
      </w:r>
      <w:r w:rsidRPr="005F6812">
        <w:rPr>
          <w:rFonts w:hint="eastAsia"/>
          <w:iCs/>
          <w:szCs w:val="24"/>
          <w:lang w:eastAsia="zh-CN"/>
        </w:rPr>
        <w:t xml:space="preserve"> </w:t>
      </w:r>
      <w:r w:rsidRPr="005F6812">
        <w:rPr>
          <w:iCs/>
          <w:szCs w:val="24"/>
          <w:lang w:eastAsia="zh-CN"/>
        </w:rPr>
        <w:t xml:space="preserve">[AMRD]: </w:t>
      </w:r>
      <w:r w:rsidRPr="005F6812">
        <w:rPr>
          <w:i/>
          <w:szCs w:val="24"/>
          <w:lang w:eastAsia="zh-CN"/>
        </w:rPr>
        <w:t>Autonomous maritime radio devices</w:t>
      </w:r>
      <w:r w:rsidRPr="005F6812">
        <w:rPr>
          <w:iCs/>
          <w:szCs w:val="24"/>
          <w:lang w:eastAsia="zh-CN"/>
        </w:rPr>
        <w:t>;</w:t>
      </w:r>
    </w:p>
    <w:p w:rsidR="00C12859" w:rsidRPr="005F6812" w:rsidRDefault="00C12859" w:rsidP="00C12859">
      <w:pPr>
        <w:pStyle w:val="enumlev1"/>
        <w:numPr>
          <w:ilvl w:val="0"/>
          <w:numId w:val="23"/>
        </w:numPr>
        <w:rPr>
          <w:lang w:eastAsia="zh-CN"/>
        </w:rPr>
      </w:pPr>
      <w:r w:rsidRPr="005F6812">
        <w:rPr>
          <w:lang w:eastAsia="zh-CN"/>
        </w:rPr>
        <w:t>Preliminary draft new Report ITU-R M.</w:t>
      </w:r>
      <w:r w:rsidRPr="005F6812">
        <w:rPr>
          <w:rFonts w:hint="eastAsia"/>
          <w:lang w:eastAsia="zh-CN"/>
        </w:rPr>
        <w:t xml:space="preserve"> </w:t>
      </w:r>
      <w:r w:rsidRPr="005F6812">
        <w:rPr>
          <w:lang w:eastAsia="zh-CN"/>
        </w:rPr>
        <w:t xml:space="preserve">[NEW_MARNUM]: </w:t>
      </w:r>
      <w:r w:rsidRPr="005F6812">
        <w:rPr>
          <w:i/>
          <w:lang w:eastAsia="zh-CN"/>
        </w:rPr>
        <w:t>New numbering scheme for maritime identities</w:t>
      </w:r>
      <w:r w:rsidRPr="005F6812">
        <w:rPr>
          <w:rFonts w:hint="eastAsia"/>
          <w:i/>
          <w:lang w:eastAsia="zh-CN"/>
        </w:rPr>
        <w:t>.</w:t>
      </w:r>
    </w:p>
    <w:p w:rsidR="002A0111" w:rsidRPr="00441526" w:rsidRDefault="002A0111" w:rsidP="002A0111">
      <w:pPr>
        <w:jc w:val="both"/>
        <w:rPr>
          <w:lang w:val="en-NZ"/>
        </w:rPr>
      </w:pPr>
    </w:p>
    <w:p w:rsidR="002A0111"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C12859" w:rsidRDefault="00C12859" w:rsidP="00C12859">
      <w:pPr>
        <w:spacing w:beforeLines="100" w:before="240" w:after="120"/>
        <w:jc w:val="both"/>
        <w:rPr>
          <w:rFonts w:eastAsiaTheme="minorEastAsia"/>
          <w:b/>
          <w:lang w:eastAsia="zh-CN"/>
        </w:rPr>
      </w:pPr>
      <w:r>
        <w:rPr>
          <w:rFonts w:eastAsiaTheme="minorEastAsia" w:hint="eastAsia"/>
          <w:b/>
          <w:lang w:eastAsia="zh-CN"/>
        </w:rPr>
        <w:t>2</w:t>
      </w:r>
      <w:r>
        <w:rPr>
          <w:rFonts w:eastAsiaTheme="minorEastAsia"/>
          <w:b/>
          <w:lang w:eastAsia="zh-CN"/>
        </w:rPr>
        <w:t>.1</w:t>
      </w:r>
      <w:r>
        <w:rPr>
          <w:rFonts w:eastAsiaTheme="minorEastAsia"/>
          <w:b/>
          <w:lang w:eastAsia="zh-CN"/>
        </w:rPr>
        <w:tab/>
        <w:t>I</w:t>
      </w:r>
      <w:r>
        <w:rPr>
          <w:rFonts w:eastAsiaTheme="minorEastAsia" w:hint="eastAsia"/>
          <w:b/>
          <w:lang w:eastAsia="zh-CN"/>
        </w:rPr>
        <w:t>nput</w:t>
      </w:r>
      <w:r>
        <w:rPr>
          <w:rFonts w:eastAsiaTheme="minorEastAsia"/>
          <w:b/>
          <w:lang w:eastAsia="zh-CN"/>
        </w:rPr>
        <w:t xml:space="preserve"> Documents</w:t>
      </w:r>
    </w:p>
    <w:p w:rsidR="00C12859" w:rsidRPr="00AE3B22" w:rsidRDefault="00C12859" w:rsidP="00C12859">
      <w:pPr>
        <w:ind w:left="420"/>
        <w:rPr>
          <w:rFonts w:eastAsiaTheme="minorEastAsia"/>
          <w:b/>
          <w:lang w:eastAsia="zh-CN"/>
        </w:rPr>
      </w:pPr>
      <w:r w:rsidRPr="00D43A97">
        <w:rPr>
          <w:rFonts w:eastAsiaTheme="minorEastAsia" w:cs="Angsana New"/>
          <w:bCs/>
          <w:lang w:val="en-NZ" w:eastAsia="zh-CN"/>
        </w:rPr>
        <w:t>APG 19-4/INP-</w:t>
      </w:r>
      <w:r>
        <w:rPr>
          <w:rFonts w:eastAsiaTheme="minorEastAsia" w:cs="Angsana New"/>
          <w:bCs/>
          <w:lang w:val="en-NZ" w:eastAsia="zh-CN"/>
        </w:rPr>
        <w:t xml:space="preserve">19 (Australia), </w:t>
      </w:r>
      <w:r w:rsidRPr="00D43A97">
        <w:rPr>
          <w:rFonts w:eastAsiaTheme="minorEastAsia" w:cs="Angsana New"/>
          <w:bCs/>
          <w:lang w:val="en-NZ" w:eastAsia="zh-CN"/>
        </w:rPr>
        <w:t>APG 19-4/INP-</w:t>
      </w:r>
      <w:r>
        <w:rPr>
          <w:rFonts w:eastAsiaTheme="minorEastAsia" w:cs="Angsana New"/>
          <w:bCs/>
          <w:lang w:val="en-NZ" w:eastAsia="zh-CN"/>
        </w:rPr>
        <w:t xml:space="preserve">26 (New Zealand), </w:t>
      </w:r>
      <w:r w:rsidRPr="00D43A97">
        <w:rPr>
          <w:rFonts w:eastAsiaTheme="minorEastAsia" w:cs="Angsana New"/>
          <w:bCs/>
          <w:lang w:val="en-NZ" w:eastAsia="zh-CN"/>
        </w:rPr>
        <w:t>APG 19-4/INP-</w:t>
      </w:r>
      <w:r>
        <w:rPr>
          <w:rFonts w:eastAsiaTheme="minorEastAsia" w:cs="Angsana New"/>
          <w:bCs/>
          <w:lang w:val="en-NZ" w:eastAsia="zh-CN"/>
        </w:rPr>
        <w:t xml:space="preserve">33 (Thailand), </w:t>
      </w:r>
      <w:r w:rsidRPr="00D43A97">
        <w:rPr>
          <w:rFonts w:eastAsiaTheme="minorEastAsia" w:cs="Angsana New"/>
          <w:bCs/>
          <w:lang w:val="en-NZ" w:eastAsia="zh-CN"/>
        </w:rPr>
        <w:t>APG 19-4/INP-</w:t>
      </w:r>
      <w:r>
        <w:rPr>
          <w:rFonts w:eastAsiaTheme="minorEastAsia" w:cs="Angsana New"/>
          <w:bCs/>
          <w:lang w:val="en-NZ" w:eastAsia="zh-CN"/>
        </w:rPr>
        <w:t xml:space="preserve">40 (Viet Nam), </w:t>
      </w:r>
      <w:r w:rsidRPr="00D43A97">
        <w:rPr>
          <w:rFonts w:eastAsiaTheme="minorEastAsia" w:cs="Angsana New"/>
          <w:bCs/>
          <w:lang w:val="en-NZ" w:eastAsia="zh-CN"/>
        </w:rPr>
        <w:t>APG 19-4/INP-</w:t>
      </w:r>
      <w:r>
        <w:rPr>
          <w:rFonts w:eastAsiaTheme="minorEastAsia" w:cs="Angsana New"/>
          <w:bCs/>
          <w:lang w:val="en-NZ" w:eastAsia="zh-CN"/>
        </w:rPr>
        <w:t xml:space="preserve">63 (Japan), </w:t>
      </w:r>
      <w:r w:rsidRPr="00D43A97">
        <w:rPr>
          <w:rFonts w:eastAsiaTheme="minorEastAsia" w:cs="Angsana New"/>
          <w:bCs/>
          <w:lang w:val="en-NZ" w:eastAsia="zh-CN"/>
        </w:rPr>
        <w:t>APG 19-4/INP-</w:t>
      </w:r>
      <w:r>
        <w:rPr>
          <w:rFonts w:eastAsiaTheme="minorEastAsia" w:cs="Angsana New"/>
          <w:bCs/>
          <w:lang w:val="en-NZ" w:eastAsia="zh-CN"/>
        </w:rPr>
        <w:t xml:space="preserve">79 &amp; 80 (Korea), </w:t>
      </w:r>
      <w:r w:rsidRPr="00D43A97">
        <w:rPr>
          <w:rFonts w:eastAsiaTheme="minorEastAsia" w:cs="Angsana New"/>
          <w:bCs/>
          <w:lang w:val="en-NZ" w:eastAsia="zh-CN"/>
        </w:rPr>
        <w:t>APG 19-4/INP-</w:t>
      </w:r>
      <w:r>
        <w:rPr>
          <w:rFonts w:eastAsiaTheme="minorEastAsia" w:cs="Angsana New"/>
          <w:bCs/>
          <w:lang w:val="en-NZ" w:eastAsia="zh-CN"/>
        </w:rPr>
        <w:t xml:space="preserve">99 (China), </w:t>
      </w:r>
      <w:r w:rsidRPr="00D43A97">
        <w:rPr>
          <w:rFonts w:eastAsiaTheme="minorEastAsia" w:cs="Angsana New"/>
          <w:bCs/>
          <w:lang w:val="en-NZ" w:eastAsia="zh-CN"/>
        </w:rPr>
        <w:t>APG 19-4/INP-</w:t>
      </w:r>
      <w:r>
        <w:rPr>
          <w:rFonts w:eastAsiaTheme="minorEastAsia" w:cs="Angsana New"/>
          <w:bCs/>
          <w:lang w:val="en-NZ" w:eastAsia="zh-CN"/>
        </w:rPr>
        <w:t>122 (Indonesia).</w:t>
      </w:r>
    </w:p>
    <w:p w:rsidR="00C12859" w:rsidRDefault="00C12859" w:rsidP="00C12859">
      <w:pPr>
        <w:spacing w:beforeLines="100" w:before="240" w:after="120"/>
        <w:jc w:val="both"/>
        <w:rPr>
          <w:rFonts w:eastAsiaTheme="minorEastAsia"/>
          <w:b/>
          <w:lang w:eastAsia="zh-CN"/>
        </w:rPr>
      </w:pPr>
      <w:r>
        <w:rPr>
          <w:rFonts w:eastAsiaTheme="minorEastAsia"/>
          <w:b/>
          <w:lang w:eastAsia="zh-CN"/>
        </w:rPr>
        <w:lastRenderedPageBreak/>
        <w:t>2.2</w:t>
      </w:r>
      <w:r>
        <w:rPr>
          <w:rFonts w:eastAsiaTheme="minorEastAsia"/>
          <w:b/>
          <w:lang w:eastAsia="zh-CN"/>
        </w:rPr>
        <w:tab/>
        <w:t>I</w:t>
      </w:r>
      <w:r>
        <w:rPr>
          <w:rFonts w:eastAsiaTheme="minorEastAsia" w:hint="eastAsia"/>
          <w:b/>
          <w:lang w:eastAsia="zh-CN"/>
        </w:rPr>
        <w:t>n</w:t>
      </w:r>
      <w:r>
        <w:rPr>
          <w:rFonts w:eastAsiaTheme="minorEastAsia"/>
          <w:b/>
          <w:lang w:eastAsia="zh-CN"/>
        </w:rPr>
        <w:t>formation Documents</w:t>
      </w:r>
    </w:p>
    <w:p w:rsidR="005206E9" w:rsidRDefault="00C12859" w:rsidP="00C12859">
      <w:pPr>
        <w:ind w:left="420"/>
        <w:rPr>
          <w:rFonts w:eastAsiaTheme="minorEastAsia" w:cs="Angsana New"/>
          <w:bCs/>
          <w:lang w:val="en-NZ" w:eastAsia="zh-CN"/>
        </w:rPr>
      </w:pPr>
      <w:r w:rsidRPr="00B85FDA">
        <w:rPr>
          <w:rFonts w:eastAsiaTheme="minorEastAsia" w:cs="Angsana New"/>
          <w:bCs/>
          <w:lang w:val="en-NZ" w:eastAsia="zh-CN"/>
        </w:rPr>
        <w:t>APG 19-4/INF-</w:t>
      </w:r>
      <w:r>
        <w:rPr>
          <w:rFonts w:eastAsiaTheme="minorEastAsia" w:cs="Angsana New"/>
          <w:bCs/>
          <w:lang w:val="en-NZ" w:eastAsia="zh-CN"/>
        </w:rPr>
        <w:t xml:space="preserve">04 (ICAO), </w:t>
      </w:r>
      <w:r w:rsidR="00FC6303" w:rsidRPr="007F21A5">
        <w:rPr>
          <w:rFonts w:eastAsiaTheme="minorEastAsia" w:cs="Angsana New"/>
          <w:bCs/>
          <w:lang w:val="en-NZ" w:eastAsia="zh-CN"/>
        </w:rPr>
        <w:t>APG19-4/INP-9</w:t>
      </w:r>
      <w:r w:rsidR="00526855">
        <w:rPr>
          <w:rFonts w:eastAsiaTheme="minorEastAsia" w:cs="Angsana New"/>
          <w:bCs/>
          <w:lang w:val="en-NZ" w:eastAsia="zh-CN"/>
        </w:rPr>
        <w:t xml:space="preserve"> (Rev.1)</w:t>
      </w:r>
      <w:r w:rsidR="00FC6303" w:rsidRPr="007F21A5">
        <w:rPr>
          <w:rFonts w:eastAsiaTheme="minorEastAsia" w:cs="Angsana New"/>
          <w:bCs/>
          <w:lang w:val="en-NZ" w:eastAsia="zh-CN"/>
        </w:rPr>
        <w:t>,</w:t>
      </w:r>
      <w:r w:rsidR="00FC6303">
        <w:rPr>
          <w:rFonts w:eastAsiaTheme="minorEastAsia" w:cs="Angsana New"/>
          <w:bCs/>
          <w:lang w:val="en-NZ" w:eastAsia="zh-CN"/>
        </w:rPr>
        <w:t xml:space="preserve"> </w:t>
      </w:r>
      <w:r w:rsidRPr="00B85FDA">
        <w:rPr>
          <w:rFonts w:eastAsiaTheme="minorEastAsia" w:cs="Angsana New"/>
          <w:bCs/>
          <w:lang w:val="en-NZ" w:eastAsia="zh-CN"/>
        </w:rPr>
        <w:t>APG 19-4/INF-22</w:t>
      </w:r>
      <w:r>
        <w:rPr>
          <w:rFonts w:eastAsiaTheme="minorEastAsia" w:cs="Angsana New"/>
          <w:bCs/>
          <w:lang w:val="en-NZ" w:eastAsia="zh-CN"/>
        </w:rPr>
        <w:t xml:space="preserve"> (CITEL), </w:t>
      </w:r>
      <w:r w:rsidRPr="00B85FDA">
        <w:rPr>
          <w:rFonts w:eastAsiaTheme="minorEastAsia" w:cs="Angsana New"/>
          <w:bCs/>
          <w:lang w:val="en-NZ" w:eastAsia="zh-CN"/>
        </w:rPr>
        <w:t>APG 19-4/INF-</w:t>
      </w:r>
      <w:r>
        <w:rPr>
          <w:rFonts w:eastAsiaTheme="minorEastAsia" w:cs="Angsana New"/>
          <w:bCs/>
          <w:lang w:val="en-NZ" w:eastAsia="zh-CN"/>
        </w:rPr>
        <w:t>23 (CEPT), APG 19-4/INF-24 (RCC).</w:t>
      </w:r>
    </w:p>
    <w:p w:rsidR="00C12859" w:rsidRPr="00C12859" w:rsidRDefault="00C12859" w:rsidP="00C12859">
      <w:pPr>
        <w:ind w:left="420"/>
        <w:rPr>
          <w:rFonts w:eastAsiaTheme="minorEastAsia"/>
          <w:lang w:eastAsia="zh-CN"/>
        </w:rPr>
      </w:pPr>
    </w:p>
    <w:p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rsidR="002A0111" w:rsidRPr="001974EF" w:rsidRDefault="002A0111" w:rsidP="001974EF">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C12859">
        <w:rPr>
          <w:b/>
          <w:lang w:val="en-NZ" w:eastAsia="ko-KR"/>
        </w:rPr>
        <w:t>Australia</w:t>
      </w:r>
      <w:r w:rsidRPr="00441526">
        <w:rPr>
          <w:b/>
          <w:lang w:val="en-NZ" w:eastAsia="ko-KR"/>
        </w:rPr>
        <w:t xml:space="preserve"> </w:t>
      </w:r>
      <w:r w:rsidRPr="00441526">
        <w:t xml:space="preserve">- </w:t>
      </w:r>
      <w:r w:rsidRPr="00441526">
        <w:rPr>
          <w:b/>
          <w:lang w:val="en-NZ" w:eastAsia="ko-KR"/>
        </w:rPr>
        <w:t>Document APG19-</w:t>
      </w:r>
      <w:r w:rsidR="00C12859">
        <w:rPr>
          <w:b/>
          <w:lang w:val="en-NZ" w:eastAsia="ko-KR"/>
        </w:rPr>
        <w:t>4</w:t>
      </w:r>
      <w:r w:rsidRPr="00441526">
        <w:rPr>
          <w:b/>
          <w:lang w:val="en-NZ" w:eastAsia="ko-KR"/>
        </w:rPr>
        <w:t>/INP-</w:t>
      </w:r>
      <w:r w:rsidR="00C12859">
        <w:rPr>
          <w:b/>
          <w:lang w:val="en-NZ" w:eastAsia="ko-KR"/>
        </w:rPr>
        <w:t>19</w:t>
      </w:r>
    </w:p>
    <w:p w:rsidR="00C12859" w:rsidRDefault="00C12859" w:rsidP="00C12859">
      <w:pPr>
        <w:rPr>
          <w:lang w:val="en-AU"/>
        </w:rPr>
      </w:pPr>
      <w:r w:rsidRPr="0056085D">
        <w:rPr>
          <w:lang w:val="en-AU"/>
        </w:rPr>
        <w:t xml:space="preserve">Australia supports consideration of possible spectrum needs and the development of appropriate technical and operational characteristics of autonomous maritime radio devices (AMRDs) operating in the frequency band 156-162.05 MHz; while noting sharing and compatibility studies in the band should ensure that no undue constraints are placed on the GMDSS and AIS in accordance with Resolution </w:t>
      </w:r>
      <w:r w:rsidRPr="0056085D">
        <w:rPr>
          <w:b/>
          <w:lang w:val="en-AU"/>
        </w:rPr>
        <w:t>362 (WRC-15)</w:t>
      </w:r>
      <w:r w:rsidRPr="0056085D">
        <w:rPr>
          <w:lang w:val="en-AU"/>
        </w:rPr>
        <w:t>.</w:t>
      </w:r>
    </w:p>
    <w:p w:rsidR="00C12859" w:rsidRPr="0056085D" w:rsidRDefault="00C12859" w:rsidP="00C12859">
      <w:pPr>
        <w:rPr>
          <w:lang w:val="en-AU"/>
        </w:rPr>
      </w:pPr>
    </w:p>
    <w:p w:rsidR="00C12859" w:rsidRDefault="00C12859" w:rsidP="00C12859">
      <w:pPr>
        <w:rPr>
          <w:lang w:val="en-AU"/>
        </w:rPr>
      </w:pPr>
      <w:r w:rsidRPr="0056085D">
        <w:rPr>
          <w:lang w:val="en-AU"/>
        </w:rPr>
        <w:t>Australia supports a definition of AMRDs to be developed in an ITU-R Recommendation.</w:t>
      </w:r>
    </w:p>
    <w:p w:rsidR="00C12859" w:rsidRPr="0056085D" w:rsidRDefault="00C12859" w:rsidP="00C12859">
      <w:pPr>
        <w:rPr>
          <w:lang w:val="en-AU"/>
        </w:rPr>
      </w:pPr>
    </w:p>
    <w:p w:rsidR="00C12859" w:rsidRDefault="00C12859" w:rsidP="00C12859">
      <w:pPr>
        <w:rPr>
          <w:lang w:val="en-AU"/>
        </w:rPr>
      </w:pPr>
      <w:r w:rsidRPr="0056085D">
        <w:rPr>
          <w:lang w:val="en-AU"/>
        </w:rPr>
        <w:t>Australia supports Methods A and B1 in the Draft CPM Report.</w:t>
      </w:r>
    </w:p>
    <w:p w:rsidR="00C12859" w:rsidRPr="0056085D" w:rsidRDefault="00C12859" w:rsidP="00C12859">
      <w:pPr>
        <w:rPr>
          <w:lang w:val="en-AU"/>
        </w:rPr>
      </w:pPr>
    </w:p>
    <w:p w:rsidR="002A0111" w:rsidRDefault="00C12859" w:rsidP="00C12859">
      <w:pPr>
        <w:jc w:val="both"/>
        <w:rPr>
          <w:lang w:val="en-AU"/>
        </w:rPr>
      </w:pPr>
      <w:r w:rsidRPr="0056085D">
        <w:rPr>
          <w:lang w:val="en-AU"/>
        </w:rPr>
        <w:t>Australia supports the APT Preliminary View from the APG19-3 meeting.</w:t>
      </w:r>
    </w:p>
    <w:p w:rsidR="001974EF" w:rsidRPr="00441526" w:rsidRDefault="001974EF" w:rsidP="00C12859">
      <w:pPr>
        <w:jc w:val="both"/>
        <w:rPr>
          <w:lang w:val="en-NZ"/>
        </w:rPr>
      </w:pPr>
    </w:p>
    <w:p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C12859">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sidR="00C12859">
        <w:rPr>
          <w:b/>
          <w:lang w:val="en-NZ" w:eastAsia="ko-KR"/>
        </w:rPr>
        <w:t>4</w:t>
      </w:r>
      <w:r w:rsidRPr="00441526">
        <w:rPr>
          <w:b/>
          <w:lang w:val="en-NZ" w:eastAsia="ko-KR"/>
        </w:rPr>
        <w:t>/INP-</w:t>
      </w:r>
      <w:r w:rsidR="00C12859">
        <w:rPr>
          <w:b/>
          <w:lang w:val="en-NZ" w:eastAsia="ko-KR"/>
        </w:rPr>
        <w:t>26</w:t>
      </w:r>
    </w:p>
    <w:p w:rsidR="00C12859" w:rsidRPr="007B1579" w:rsidRDefault="00C12859" w:rsidP="00C12859">
      <w:pPr>
        <w:jc w:val="both"/>
        <w:rPr>
          <w:lang w:val="en-NZ"/>
        </w:rPr>
      </w:pPr>
      <w:r w:rsidRPr="007B1579">
        <w:rPr>
          <w:lang w:val="en-NZ"/>
        </w:rPr>
        <w:t xml:space="preserve">New Zealand is of the view that the term “autonomous maritime radio device” (AMRD) and its intended applications should be properly defined before the studies in relation to regulatory actions within the frequency band 156-162.05 MHz could be considered. </w:t>
      </w:r>
    </w:p>
    <w:p w:rsidR="00C12859" w:rsidRPr="007B1579" w:rsidRDefault="00C12859" w:rsidP="00C12859">
      <w:pPr>
        <w:jc w:val="both"/>
        <w:rPr>
          <w:lang w:val="en-NZ"/>
        </w:rPr>
      </w:pPr>
    </w:p>
    <w:p w:rsidR="00C12859" w:rsidRPr="007B1579" w:rsidRDefault="00C12859" w:rsidP="00C12859">
      <w:pPr>
        <w:jc w:val="both"/>
        <w:rPr>
          <w:b/>
          <w:lang w:val="en-NZ"/>
        </w:rPr>
      </w:pPr>
      <w:r w:rsidRPr="00B008B6">
        <w:rPr>
          <w:lang w:val="en-NZ"/>
        </w:rPr>
        <w:t xml:space="preserve">New Zealand is also of the view that AMRDs for the purpose of safety of navigation and safety of life should use frequencies in accordance with RR Appendix </w:t>
      </w:r>
      <w:r w:rsidRPr="00B008B6">
        <w:rPr>
          <w:b/>
          <w:lang w:val="en-NZ"/>
        </w:rPr>
        <w:t>18</w:t>
      </w:r>
      <w:r w:rsidRPr="00B008B6">
        <w:rPr>
          <w:lang w:val="en-NZ"/>
        </w:rPr>
        <w:t xml:space="preserve">. New Zealand supports </w:t>
      </w:r>
      <w:r>
        <w:rPr>
          <w:lang w:val="en-NZ"/>
        </w:rPr>
        <w:t>the use of</w:t>
      </w:r>
      <w:r w:rsidRPr="00B008B6">
        <w:rPr>
          <w:lang w:val="en-NZ"/>
        </w:rPr>
        <w:t xml:space="preserve"> frequencies 156.525 MHz (Ch. 70), 161.975 MHz (AIS 1) and 162.025 MHz (AIS 2) </w:t>
      </w:r>
      <w:r>
        <w:rPr>
          <w:lang w:val="en-NZ"/>
        </w:rPr>
        <w:t>f</w:t>
      </w:r>
      <w:r w:rsidRPr="00B008B6">
        <w:rPr>
          <w:lang w:val="en-NZ"/>
        </w:rPr>
        <w:t>or AMRDs Group A (in line with Method A); whereas the frequency 160.900 MHz (Ch. 2006) may be used for AMRDs Group B (in line with Method B1).</w:t>
      </w:r>
      <w:r w:rsidRPr="007B1579">
        <w:rPr>
          <w:lang w:val="en-NZ"/>
        </w:rPr>
        <w:t xml:space="preserve"> </w:t>
      </w:r>
    </w:p>
    <w:p w:rsidR="002A0111" w:rsidRPr="00441526" w:rsidRDefault="002A0111" w:rsidP="003D3D47">
      <w:pPr>
        <w:jc w:val="both"/>
        <w:rPr>
          <w:lang w:val="en-NZ"/>
        </w:rPr>
      </w:pPr>
      <w:r w:rsidRPr="00441526">
        <w:rPr>
          <w:lang w:val="en-NZ"/>
        </w:rPr>
        <w:t xml:space="preserve">. </w:t>
      </w:r>
    </w:p>
    <w:p w:rsidR="002A0111" w:rsidRPr="00441526" w:rsidRDefault="002A0111" w:rsidP="003D3D47">
      <w:pPr>
        <w:spacing w:after="120"/>
        <w:jc w:val="both"/>
        <w:rPr>
          <w:b/>
          <w:lang w:val="en-NZ" w:eastAsia="ko-KR"/>
        </w:rPr>
      </w:pPr>
      <w:r w:rsidRPr="00441526">
        <w:rPr>
          <w:b/>
          <w:lang w:val="en-NZ" w:eastAsia="ko-KR"/>
        </w:rPr>
        <w:t>3.1.</w:t>
      </w:r>
      <w:r w:rsidR="00C12859">
        <w:rPr>
          <w:b/>
          <w:lang w:val="en-NZ" w:eastAsia="ko-KR"/>
        </w:rPr>
        <w:t>3</w:t>
      </w:r>
      <w:r w:rsidRPr="00441526">
        <w:rPr>
          <w:b/>
          <w:lang w:val="en-NZ" w:eastAsia="ko-KR"/>
        </w:rPr>
        <w:tab/>
      </w:r>
      <w:r w:rsidR="00C12859">
        <w:rPr>
          <w:b/>
          <w:lang w:val="en-NZ" w:eastAsia="ko-KR"/>
        </w:rPr>
        <w:t>Thailand</w:t>
      </w:r>
      <w:r w:rsidRPr="00441526">
        <w:rPr>
          <w:b/>
          <w:lang w:val="en-NZ" w:eastAsia="ko-KR"/>
        </w:rPr>
        <w:t xml:space="preserve"> </w:t>
      </w:r>
      <w:r w:rsidRPr="00441526">
        <w:t xml:space="preserve">- </w:t>
      </w:r>
      <w:r w:rsidRPr="00441526">
        <w:rPr>
          <w:b/>
          <w:lang w:val="en-NZ" w:eastAsia="ko-KR"/>
        </w:rPr>
        <w:t>Document APG19-</w:t>
      </w:r>
      <w:r w:rsidR="00C12859">
        <w:rPr>
          <w:b/>
          <w:lang w:val="en-NZ" w:eastAsia="ko-KR"/>
        </w:rPr>
        <w:t>4</w:t>
      </w:r>
      <w:r w:rsidRPr="00441526">
        <w:rPr>
          <w:b/>
          <w:lang w:val="en-NZ" w:eastAsia="ko-KR"/>
        </w:rPr>
        <w:t>/INP-</w:t>
      </w:r>
      <w:r w:rsidR="00C12859">
        <w:rPr>
          <w:b/>
          <w:lang w:val="en-NZ" w:eastAsia="ko-KR"/>
        </w:rPr>
        <w:t>33</w:t>
      </w:r>
    </w:p>
    <w:p w:rsidR="00C12859" w:rsidRDefault="00C12859" w:rsidP="00C12859">
      <w:pPr>
        <w:spacing w:before="120"/>
        <w:contextualSpacing/>
        <w:jc w:val="both"/>
      </w:pPr>
      <w:r w:rsidRPr="00C12859">
        <w:rPr>
          <w:iCs/>
        </w:rPr>
        <w:t>For</w:t>
      </w:r>
      <w:r w:rsidRPr="00C12859">
        <w:rPr>
          <w:rFonts w:cs="Cordia New" w:hint="cs"/>
          <w:iCs/>
          <w:szCs w:val="30"/>
          <w:cs/>
          <w:lang w:bidi="th-TH"/>
        </w:rPr>
        <w:t xml:space="preserve"> </w:t>
      </w:r>
      <w:r w:rsidRPr="00DC167D">
        <w:t xml:space="preserve">AMRD Group </w:t>
      </w:r>
      <w:r w:rsidRPr="00C12859">
        <w:rPr>
          <w:rFonts w:cs="Angsana New"/>
          <w:szCs w:val="30"/>
          <w:lang w:bidi="th-TH"/>
        </w:rPr>
        <w:t xml:space="preserve">A, </w:t>
      </w:r>
      <w:r w:rsidRPr="001D736E">
        <w:t>Thailand supports modification of the Radio Regulations to allow AMRD Group A to operate on frequency 156.525 MHz (channel 70), 161.975 MHz (AIS 1) and 162.025 MHz (AIS 2).</w:t>
      </w:r>
    </w:p>
    <w:p w:rsidR="00AC7530" w:rsidRDefault="00AC7530" w:rsidP="00C12859">
      <w:pPr>
        <w:spacing w:before="120"/>
        <w:contextualSpacing/>
        <w:jc w:val="both"/>
      </w:pPr>
      <w:r w:rsidRPr="00AC7530">
        <w:rPr>
          <w:iCs/>
        </w:rPr>
        <w:t>For</w:t>
      </w:r>
      <w:r w:rsidRPr="00BB124F">
        <w:rPr>
          <w:rFonts w:cs="Cordia New" w:hint="cs"/>
          <w:iCs/>
          <w:szCs w:val="30"/>
          <w:cs/>
          <w:lang w:bidi="th-TH"/>
        </w:rPr>
        <w:t xml:space="preserve"> </w:t>
      </w:r>
      <w:r w:rsidRPr="00DC167D">
        <w:t xml:space="preserve">AMRD Group </w:t>
      </w:r>
      <w:r w:rsidRPr="00AC7530">
        <w:rPr>
          <w:rFonts w:cs="Angsana New"/>
          <w:szCs w:val="30"/>
          <w:lang w:bidi="th-TH"/>
        </w:rPr>
        <w:t xml:space="preserve">B, </w:t>
      </w:r>
      <w:r w:rsidRPr="001D736E">
        <w:t>Thailand supports modification of the Radio Regulations to allow AMRD Group B using AIS-technology to operate on frequency 160.900 MHz (channel 2006). Thailand is also of the view that any identification of additional spectrum for AMRD Group B should not cause harmful interference or any impact on the existing services within the frequency band and the adjacent bands.</w:t>
      </w:r>
    </w:p>
    <w:p w:rsidR="001974EF" w:rsidRDefault="001974EF" w:rsidP="00C12859">
      <w:pPr>
        <w:spacing w:before="120"/>
        <w:contextualSpacing/>
        <w:jc w:val="both"/>
      </w:pPr>
    </w:p>
    <w:p w:rsidR="00C12859" w:rsidRPr="00C12859" w:rsidRDefault="00C12859" w:rsidP="00C12859">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Viet Nam</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40</w:t>
      </w:r>
    </w:p>
    <w:p w:rsidR="00C12859" w:rsidRPr="00155E79" w:rsidRDefault="00C12859" w:rsidP="00C12859">
      <w:pPr>
        <w:tabs>
          <w:tab w:val="left" w:pos="600"/>
        </w:tabs>
        <w:rPr>
          <w:color w:val="000000" w:themeColor="text1"/>
        </w:rPr>
      </w:pPr>
      <w:r w:rsidRPr="00155E79">
        <w:rPr>
          <w:color w:val="000000" w:themeColor="text1"/>
        </w:rPr>
        <w:t>Viet Nam Administration supports studies being undertaken by ITU-R on this issue and is of the view that:</w:t>
      </w:r>
    </w:p>
    <w:p w:rsidR="00C12859" w:rsidRPr="00155E79" w:rsidRDefault="00C12859" w:rsidP="00C12859">
      <w:pPr>
        <w:pStyle w:val="ListParagraph"/>
        <w:numPr>
          <w:ilvl w:val="0"/>
          <w:numId w:val="27"/>
        </w:numPr>
        <w:overflowPunct w:val="0"/>
        <w:autoSpaceDE w:val="0"/>
        <w:autoSpaceDN w:val="0"/>
        <w:adjustRightInd w:val="0"/>
        <w:spacing w:before="120"/>
        <w:textAlignment w:val="baseline"/>
        <w:rPr>
          <w:color w:val="000000" w:themeColor="text1"/>
        </w:rPr>
      </w:pPr>
      <w:r w:rsidRPr="00155E79">
        <w:rPr>
          <w:color w:val="000000" w:themeColor="text1"/>
        </w:rPr>
        <w:t>AMRDs operation should be harmonized, regulated;</w:t>
      </w:r>
    </w:p>
    <w:p w:rsidR="00C12859" w:rsidRPr="00155E79" w:rsidRDefault="00C12859" w:rsidP="00C12859">
      <w:pPr>
        <w:pStyle w:val="ListParagraph"/>
        <w:numPr>
          <w:ilvl w:val="0"/>
          <w:numId w:val="27"/>
        </w:numPr>
        <w:overflowPunct w:val="0"/>
        <w:autoSpaceDE w:val="0"/>
        <w:autoSpaceDN w:val="0"/>
        <w:adjustRightInd w:val="0"/>
        <w:spacing w:before="120"/>
        <w:textAlignment w:val="baseline"/>
        <w:rPr>
          <w:color w:val="000000" w:themeColor="text1"/>
        </w:rPr>
      </w:pPr>
      <w:r w:rsidRPr="00155E79">
        <w:rPr>
          <w:color w:val="000000" w:themeColor="text1"/>
        </w:rPr>
        <w:t>The integrity of AIS and the GMDSS must be protected;</w:t>
      </w:r>
    </w:p>
    <w:p w:rsidR="00C12859" w:rsidRPr="00155E79" w:rsidRDefault="00C12859" w:rsidP="00C12859">
      <w:pPr>
        <w:pStyle w:val="ListParagraph"/>
        <w:numPr>
          <w:ilvl w:val="0"/>
          <w:numId w:val="27"/>
        </w:numPr>
        <w:overflowPunct w:val="0"/>
        <w:autoSpaceDE w:val="0"/>
        <w:autoSpaceDN w:val="0"/>
        <w:adjustRightInd w:val="0"/>
        <w:spacing w:before="120"/>
        <w:jc w:val="both"/>
        <w:textAlignment w:val="baseline"/>
        <w:rPr>
          <w:color w:val="000000" w:themeColor="text1"/>
        </w:rPr>
      </w:pPr>
      <w:r w:rsidRPr="00155E79">
        <w:rPr>
          <w:color w:val="000000" w:themeColor="text1"/>
        </w:rPr>
        <w:t>Search and rescue aircraft system operating in maritime frequencies must be protected;</w:t>
      </w:r>
    </w:p>
    <w:p w:rsidR="00C12859" w:rsidRPr="00155E79" w:rsidRDefault="00C12859" w:rsidP="00C12859">
      <w:pPr>
        <w:pStyle w:val="ListParagraph"/>
        <w:numPr>
          <w:ilvl w:val="0"/>
          <w:numId w:val="27"/>
        </w:numPr>
        <w:spacing w:before="120"/>
        <w:rPr>
          <w:color w:val="000000" w:themeColor="text1"/>
        </w:rPr>
      </w:pPr>
      <w:r w:rsidRPr="00155E79">
        <w:rPr>
          <w:color w:val="000000" w:themeColor="text1"/>
        </w:rPr>
        <w:lastRenderedPageBreak/>
        <w:t>The AMRD Group A could operate on frequency channels 156.525 MHz (channel 70), 161.975 MHz (AIS 1) and 162.025 MHz (AIS 2) of RR Appendix 18, so Method A is supported.</w:t>
      </w:r>
    </w:p>
    <w:p w:rsidR="00C12859" w:rsidRDefault="00C12859" w:rsidP="00C12859">
      <w:pPr>
        <w:pStyle w:val="ListParagraph"/>
        <w:numPr>
          <w:ilvl w:val="0"/>
          <w:numId w:val="27"/>
        </w:numPr>
        <w:tabs>
          <w:tab w:val="left" w:pos="794"/>
          <w:tab w:val="left" w:pos="1191"/>
          <w:tab w:val="left" w:pos="1588"/>
          <w:tab w:val="left" w:pos="1985"/>
        </w:tabs>
        <w:overflowPunct w:val="0"/>
        <w:autoSpaceDE w:val="0"/>
        <w:autoSpaceDN w:val="0"/>
        <w:adjustRightInd w:val="0"/>
        <w:spacing w:before="120"/>
        <w:textAlignment w:val="baseline"/>
        <w:rPr>
          <w:color w:val="000000" w:themeColor="text1"/>
        </w:rPr>
      </w:pPr>
      <w:r w:rsidRPr="00155E79">
        <w:rPr>
          <w:color w:val="000000" w:themeColor="text1"/>
        </w:rPr>
        <w:t>Frequencies of RR Appendix 18 could also accommodate the AMRD Group B, so Method B1 and B2 is supported, Method B3 is opposed;</w:t>
      </w:r>
    </w:p>
    <w:p w:rsidR="00C12859" w:rsidRPr="00C12859" w:rsidRDefault="00C12859" w:rsidP="00C12859">
      <w:pPr>
        <w:tabs>
          <w:tab w:val="left" w:pos="794"/>
          <w:tab w:val="left" w:pos="1191"/>
          <w:tab w:val="left" w:pos="1588"/>
          <w:tab w:val="left" w:pos="1985"/>
        </w:tabs>
        <w:overflowPunct w:val="0"/>
        <w:autoSpaceDE w:val="0"/>
        <w:autoSpaceDN w:val="0"/>
        <w:adjustRightInd w:val="0"/>
        <w:spacing w:before="120"/>
        <w:textAlignment w:val="baseline"/>
        <w:rPr>
          <w:color w:val="000000" w:themeColor="text1"/>
        </w:rPr>
      </w:pPr>
    </w:p>
    <w:p w:rsidR="00C12859" w:rsidRPr="00C12859" w:rsidRDefault="00C12859" w:rsidP="00C12859">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63</w:t>
      </w:r>
    </w:p>
    <w:p w:rsidR="00C12859" w:rsidRDefault="00C12859" w:rsidP="00C12859">
      <w:pPr>
        <w:spacing w:beforeLines="50" w:before="120"/>
        <w:jc w:val="both"/>
        <w:rPr>
          <w:rFonts w:eastAsiaTheme="minorEastAsia"/>
          <w:lang w:eastAsia="ja-JP"/>
        </w:rPr>
      </w:pPr>
      <w:r w:rsidRPr="00BD4C0D">
        <w:rPr>
          <w:rFonts w:eastAsiaTheme="minorEastAsia"/>
          <w:lang w:eastAsia="ja-JP"/>
        </w:rPr>
        <w:t xml:space="preserve">Japan supports ITU-R studies </w:t>
      </w:r>
      <w:r w:rsidRPr="00BD4C0D">
        <w:rPr>
          <w:rFonts w:eastAsiaTheme="minorEastAsia" w:hint="eastAsia"/>
          <w:lang w:eastAsia="ja-JP"/>
        </w:rPr>
        <w:t xml:space="preserve">for </w:t>
      </w:r>
      <w:r w:rsidRPr="00BD4C0D">
        <w:rPr>
          <w:rFonts w:eastAsiaTheme="minorEastAsia"/>
          <w:lang w:eastAsia="ja-JP"/>
        </w:rPr>
        <w:t xml:space="preserve">the introduction of </w:t>
      </w:r>
      <w:r w:rsidRPr="00BD4C0D">
        <w:rPr>
          <w:rFonts w:eastAsiaTheme="minorEastAsia" w:hint="eastAsia"/>
          <w:lang w:eastAsia="ja-JP"/>
        </w:rPr>
        <w:t>AMRD.</w:t>
      </w:r>
      <w:r w:rsidRPr="00BD4C0D">
        <w:rPr>
          <w:rFonts w:eastAsiaTheme="minorEastAsia"/>
          <w:lang w:eastAsia="ja-JP"/>
        </w:rPr>
        <w:t xml:space="preserve"> </w:t>
      </w:r>
      <w:bookmarkStart w:id="0" w:name="OLE_LINK1"/>
      <w:bookmarkStart w:id="1" w:name="OLE_LINK2"/>
      <w:bookmarkStart w:id="2" w:name="OLE_LINK3"/>
      <w:r w:rsidRPr="0080355E">
        <w:rPr>
          <w:rFonts w:eastAsiaTheme="minorEastAsia"/>
          <w:lang w:eastAsia="ja-JP"/>
        </w:rPr>
        <w:t>Any radiation from AMRD shall not affect existing services operating in the</w:t>
      </w:r>
      <w:r>
        <w:rPr>
          <w:rFonts w:eastAsiaTheme="minorEastAsia"/>
          <w:lang w:eastAsia="ja-JP"/>
        </w:rPr>
        <w:t xml:space="preserve"> band concerned, in the Out-of-b</w:t>
      </w:r>
      <w:r w:rsidRPr="0080355E">
        <w:rPr>
          <w:rFonts w:eastAsiaTheme="minorEastAsia"/>
          <w:lang w:eastAsia="ja-JP"/>
        </w:rPr>
        <w:t>and and spurious domain including harmonics frequencies.</w:t>
      </w:r>
    </w:p>
    <w:bookmarkEnd w:id="0"/>
    <w:bookmarkEnd w:id="1"/>
    <w:bookmarkEnd w:id="2"/>
    <w:p w:rsidR="00C12859" w:rsidRDefault="00C12859" w:rsidP="00C12859">
      <w:pPr>
        <w:jc w:val="both"/>
      </w:pPr>
      <w:r>
        <w:t>Japan supports Method A for AMRD Group A.</w:t>
      </w:r>
    </w:p>
    <w:p w:rsidR="002A0111" w:rsidRDefault="00C12859" w:rsidP="00C12859">
      <w:r>
        <w:t>Japan supports only Method B1 for AMRD Group B.</w:t>
      </w:r>
    </w:p>
    <w:p w:rsidR="001974EF" w:rsidRDefault="001974EF" w:rsidP="00C12859">
      <w:pPr>
        <w:rPr>
          <w:lang w:val="en-NZ"/>
        </w:rPr>
      </w:pPr>
    </w:p>
    <w:p w:rsidR="001974EF" w:rsidRDefault="001974EF" w:rsidP="00C12859">
      <w:pPr>
        <w:rPr>
          <w:b/>
          <w:lang w:val="en-NZ" w:eastAsia="ko-KR"/>
        </w:rPr>
      </w:pPr>
      <w:r w:rsidRPr="00441526">
        <w:rPr>
          <w:b/>
          <w:lang w:val="en-NZ" w:eastAsia="ko-KR"/>
        </w:rPr>
        <w:t>3.1.</w:t>
      </w:r>
      <w:r>
        <w:rPr>
          <w:b/>
          <w:lang w:val="en-NZ" w:eastAsia="ko-KR"/>
        </w:rPr>
        <w:t>6</w:t>
      </w:r>
      <w:r w:rsidRPr="00441526">
        <w:rPr>
          <w:b/>
          <w:lang w:val="en-NZ" w:eastAsia="ko-KR"/>
        </w:rPr>
        <w:tab/>
      </w:r>
      <w:r>
        <w:rPr>
          <w:b/>
          <w:lang w:val="en-NZ" w:eastAsia="ko-KR"/>
        </w:rPr>
        <w:t>Korean</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80</w:t>
      </w:r>
    </w:p>
    <w:p w:rsidR="001974EF" w:rsidRDefault="00AC7530" w:rsidP="001974EF">
      <w:pPr>
        <w:rPr>
          <w:rFonts w:eastAsiaTheme="minorEastAsia"/>
          <w:lang w:val="en-NZ" w:eastAsia="zh-CN"/>
        </w:rPr>
      </w:pPr>
      <w:r>
        <w:rPr>
          <w:rFonts w:eastAsiaTheme="minorEastAsia"/>
          <w:lang w:val="en-NZ" w:eastAsia="zh-CN"/>
        </w:rPr>
        <w:t>Korea</w:t>
      </w:r>
      <w:r w:rsidR="001974EF" w:rsidRPr="00E26A0F">
        <w:rPr>
          <w:rFonts w:eastAsiaTheme="minorEastAsia"/>
          <w:lang w:val="en-NZ" w:eastAsia="zh-CN"/>
        </w:rPr>
        <w:t xml:space="preserve"> support</w:t>
      </w:r>
      <w:r>
        <w:rPr>
          <w:rFonts w:eastAsiaTheme="minorEastAsia"/>
          <w:lang w:val="en-NZ" w:eastAsia="zh-CN"/>
        </w:rPr>
        <w:t>s</w:t>
      </w:r>
      <w:r w:rsidR="001974EF" w:rsidRPr="00E26A0F">
        <w:rPr>
          <w:rFonts w:eastAsiaTheme="minorEastAsia"/>
          <w:lang w:val="en-NZ" w:eastAsia="zh-CN"/>
        </w:rPr>
        <w:t xml:space="preserve"> the ITU-R studies on the spectrum needs, technical and operational characteristics, categorization, identifications of AMRDs and its applications, as well as the studies in relation to regulatory actions in the frequency band 156-162.05 MHz   while ensuring the protection of the GMDSS and AIS</w:t>
      </w:r>
      <w:r w:rsidR="001974EF" w:rsidRPr="00647943">
        <w:rPr>
          <w:rFonts w:eastAsiaTheme="minorEastAsia"/>
          <w:lang w:val="en-NZ" w:eastAsia="zh-CN"/>
        </w:rPr>
        <w:t xml:space="preserve"> </w:t>
      </w:r>
      <w:r w:rsidR="001974EF">
        <w:rPr>
          <w:rFonts w:eastAsiaTheme="minorEastAsia"/>
          <w:lang w:val="en-NZ" w:eastAsia="zh-CN"/>
        </w:rPr>
        <w:t>frequencies</w:t>
      </w:r>
      <w:r w:rsidR="001974EF" w:rsidRPr="00E26A0F">
        <w:rPr>
          <w:rFonts w:eastAsiaTheme="minorEastAsia"/>
          <w:lang w:val="en-NZ" w:eastAsia="zh-CN"/>
        </w:rPr>
        <w:t xml:space="preserve">, in accordance with Resolution </w:t>
      </w:r>
      <w:r w:rsidR="001974EF" w:rsidRPr="008E3F78">
        <w:rPr>
          <w:rFonts w:eastAsiaTheme="minorEastAsia"/>
          <w:b/>
          <w:lang w:val="en-NZ" w:eastAsia="zh-CN"/>
        </w:rPr>
        <w:t>362 (WRC-15)</w:t>
      </w:r>
      <w:r w:rsidR="001974EF" w:rsidRPr="00E26A0F">
        <w:rPr>
          <w:rFonts w:eastAsiaTheme="minorEastAsia"/>
          <w:lang w:val="en-NZ" w:eastAsia="zh-CN"/>
        </w:rPr>
        <w:t>.</w:t>
      </w:r>
    </w:p>
    <w:p w:rsidR="001974EF" w:rsidRDefault="001974EF" w:rsidP="001974EF">
      <w:pPr>
        <w:rPr>
          <w:lang w:val="en-NZ" w:eastAsia="ko-KR"/>
        </w:rPr>
      </w:pPr>
    </w:p>
    <w:p w:rsidR="001974EF" w:rsidRDefault="00BB124F" w:rsidP="001974EF">
      <w:pPr>
        <w:rPr>
          <w:rFonts w:eastAsiaTheme="minorEastAsia"/>
          <w:lang w:val="en-NZ" w:eastAsia="zh-CN"/>
        </w:rPr>
      </w:pPr>
      <w:r>
        <w:rPr>
          <w:rFonts w:eastAsiaTheme="minorEastAsia"/>
          <w:lang w:val="en-NZ" w:eastAsia="zh-CN"/>
        </w:rPr>
        <w:t>Korea</w:t>
      </w:r>
      <w:r w:rsidR="001974EF" w:rsidRPr="00E26A0F">
        <w:rPr>
          <w:rFonts w:eastAsiaTheme="minorEastAsia"/>
          <w:lang w:val="en-NZ" w:eastAsia="zh-CN"/>
        </w:rPr>
        <w:t xml:space="preserve"> </w:t>
      </w:r>
      <w:r>
        <w:rPr>
          <w:rFonts w:eastAsiaTheme="minorEastAsia"/>
          <w:lang w:val="en-NZ" w:eastAsia="zh-CN"/>
        </w:rPr>
        <w:t>is</w:t>
      </w:r>
      <w:r w:rsidR="001974EF" w:rsidRPr="00E26A0F">
        <w:rPr>
          <w:rFonts w:eastAsiaTheme="minorEastAsia"/>
          <w:lang w:val="en-NZ" w:eastAsia="zh-CN"/>
        </w:rPr>
        <w:t xml:space="preserve"> also of the view that:</w:t>
      </w:r>
    </w:p>
    <w:p w:rsidR="001974EF" w:rsidRPr="00647943" w:rsidRDefault="001974EF" w:rsidP="001974EF">
      <w:pPr>
        <w:pStyle w:val="ListParagraph"/>
        <w:numPr>
          <w:ilvl w:val="0"/>
          <w:numId w:val="28"/>
        </w:numPr>
        <w:rPr>
          <w:rFonts w:eastAsiaTheme="minorEastAsia"/>
          <w:lang w:val="en-NZ" w:eastAsia="zh-CN"/>
        </w:rPr>
      </w:pPr>
      <w:r>
        <w:rPr>
          <w:rFonts w:eastAsiaTheme="minorEastAsia"/>
          <w:lang w:val="en-NZ" w:eastAsia="ko-KR"/>
        </w:rPr>
        <w:t xml:space="preserve">the detailed list and applications </w:t>
      </w:r>
      <w:r>
        <w:rPr>
          <w:rFonts w:eastAsiaTheme="minorEastAsia" w:hint="eastAsia"/>
          <w:lang w:val="en-NZ" w:eastAsia="ko-KR"/>
        </w:rPr>
        <w:t xml:space="preserve">of </w:t>
      </w:r>
      <w:r>
        <w:rPr>
          <w:rFonts w:eastAsiaTheme="minorEastAsia"/>
          <w:lang w:val="en-NZ" w:eastAsia="ko-KR"/>
        </w:rPr>
        <w:t>A</w:t>
      </w:r>
      <w:r>
        <w:rPr>
          <w:rFonts w:eastAsiaTheme="minorEastAsia" w:hint="eastAsia"/>
          <w:lang w:val="en-NZ" w:eastAsia="ko-KR"/>
        </w:rPr>
        <w:t xml:space="preserve">MRDs should be clearly </w:t>
      </w:r>
      <w:r>
        <w:rPr>
          <w:rFonts w:eastAsiaTheme="minorEastAsia"/>
          <w:lang w:val="en-NZ" w:eastAsia="ko-KR"/>
        </w:rPr>
        <w:t>indicated in a new Recommendation ITU-R M.[AMRD] considering the overload of AIS VHF data link and the importance of DSC distress alerting;</w:t>
      </w:r>
    </w:p>
    <w:p w:rsidR="001974EF" w:rsidRPr="00E26A0F" w:rsidRDefault="001974EF" w:rsidP="001974EF">
      <w:pPr>
        <w:pStyle w:val="ListParagraph"/>
        <w:numPr>
          <w:ilvl w:val="0"/>
          <w:numId w:val="28"/>
        </w:numPr>
        <w:rPr>
          <w:rFonts w:eastAsiaTheme="minorEastAsia"/>
          <w:lang w:val="en-NZ" w:eastAsia="zh-CN"/>
        </w:rPr>
      </w:pPr>
      <w:r>
        <w:rPr>
          <w:rFonts w:eastAsiaTheme="minorEastAsia"/>
          <w:lang w:val="en-NZ" w:eastAsia="zh-CN"/>
        </w:rPr>
        <w:t>Group A</w:t>
      </w:r>
      <w:r w:rsidRPr="00E26A0F">
        <w:rPr>
          <w:rFonts w:eastAsiaTheme="minorEastAsia"/>
          <w:lang w:val="en-NZ" w:eastAsia="zh-CN"/>
        </w:rPr>
        <w:t xml:space="preserve"> AMRDs which enhance the safety of navigation should be regulated for the use of frequencies and identities of the maritime mobile service; </w:t>
      </w:r>
    </w:p>
    <w:p w:rsidR="001974EF" w:rsidRPr="000229A1" w:rsidRDefault="001974EF" w:rsidP="001974EF">
      <w:pPr>
        <w:pStyle w:val="ListParagraph"/>
        <w:numPr>
          <w:ilvl w:val="0"/>
          <w:numId w:val="28"/>
        </w:numPr>
        <w:rPr>
          <w:rFonts w:eastAsiaTheme="minorEastAsia"/>
          <w:lang w:val="en-NZ" w:eastAsia="zh-CN"/>
        </w:rPr>
      </w:pPr>
      <w:r>
        <w:rPr>
          <w:rFonts w:eastAsiaTheme="minorEastAsia"/>
          <w:lang w:val="en-NZ" w:eastAsia="zh-CN"/>
        </w:rPr>
        <w:t xml:space="preserve">Group B </w:t>
      </w:r>
      <w:r w:rsidRPr="000229A1">
        <w:rPr>
          <w:rFonts w:eastAsiaTheme="minorEastAsia"/>
          <w:lang w:val="en-NZ" w:eastAsia="zh-CN"/>
        </w:rPr>
        <w:t xml:space="preserve">AMRDs which do not enhance the safety of navigation, regulation of the use of frequencies, and technical and operational characteristics, should benefit both the user of devices as well as coexistence with maritime safety devices and applications. Identification </w:t>
      </w:r>
      <w:r w:rsidR="009A1954" w:rsidRPr="000229A1">
        <w:rPr>
          <w:rFonts w:eastAsiaTheme="minorEastAsia"/>
          <w:lang w:val="en-NZ" w:eastAsia="zh-CN"/>
        </w:rPr>
        <w:t>of additional</w:t>
      </w:r>
      <w:r w:rsidRPr="000229A1">
        <w:rPr>
          <w:rFonts w:eastAsiaTheme="minorEastAsia"/>
          <w:lang w:val="en-NZ" w:eastAsia="zh-CN"/>
        </w:rPr>
        <w:t xml:space="preserve"> spectrum within the frequency band 156-162.05 MHz should be considered</w:t>
      </w:r>
      <w:r w:rsidRPr="00647943">
        <w:rPr>
          <w:rFonts w:eastAsiaTheme="minorEastAsia"/>
          <w:lang w:val="en-NZ" w:eastAsia="zh-CN"/>
        </w:rPr>
        <w:t xml:space="preserve"> </w:t>
      </w:r>
      <w:r>
        <w:rPr>
          <w:rFonts w:eastAsiaTheme="minorEastAsia"/>
          <w:lang w:val="en-NZ" w:eastAsia="zh-CN"/>
        </w:rPr>
        <w:t xml:space="preserve">without </w:t>
      </w:r>
      <w:r w:rsidRPr="000229A1">
        <w:rPr>
          <w:rFonts w:eastAsiaTheme="minorEastAsia"/>
          <w:lang w:val="en-NZ" w:eastAsia="zh-CN"/>
        </w:rPr>
        <w:t>any constrain</w:t>
      </w:r>
      <w:r>
        <w:rPr>
          <w:rFonts w:eastAsiaTheme="minorEastAsia" w:hint="eastAsia"/>
          <w:lang w:val="en-NZ" w:eastAsia="ko-KR"/>
        </w:rPr>
        <w:t>t</w:t>
      </w:r>
      <w:r w:rsidRPr="000229A1">
        <w:rPr>
          <w:rFonts w:eastAsiaTheme="minorEastAsia"/>
          <w:lang w:val="en-NZ" w:eastAsia="zh-CN"/>
        </w:rPr>
        <w:t>s or harmful interference to the existing services;</w:t>
      </w:r>
    </w:p>
    <w:p w:rsidR="001974EF" w:rsidRDefault="001974EF" w:rsidP="001974EF">
      <w:pPr>
        <w:rPr>
          <w:rFonts w:eastAsiaTheme="minorEastAsia"/>
          <w:lang w:val="en-NZ" w:eastAsia="zh-CN"/>
        </w:rPr>
      </w:pPr>
      <w:r w:rsidRPr="00E26A0F">
        <w:rPr>
          <w:rFonts w:eastAsiaTheme="minorEastAsia"/>
          <w:lang w:val="en-NZ" w:eastAsia="zh-CN"/>
        </w:rPr>
        <w:t>Search and rescue aircraft system operating in maritime frequencies must be protected.</w:t>
      </w:r>
    </w:p>
    <w:p w:rsidR="001974EF" w:rsidRDefault="001974EF" w:rsidP="001974EF">
      <w:pPr>
        <w:rPr>
          <w:lang w:val="en-NZ"/>
        </w:rPr>
      </w:pPr>
    </w:p>
    <w:p w:rsidR="001974EF" w:rsidRDefault="001974EF" w:rsidP="001974EF">
      <w:pPr>
        <w:rPr>
          <w:b/>
          <w:lang w:val="en-NZ" w:eastAsia="ko-KR"/>
        </w:rPr>
      </w:pPr>
      <w:r w:rsidRPr="00441526">
        <w:rPr>
          <w:b/>
          <w:lang w:val="en-NZ" w:eastAsia="ko-KR"/>
        </w:rPr>
        <w:t>3.1.</w:t>
      </w:r>
      <w:r>
        <w:rPr>
          <w:b/>
          <w:lang w:val="en-NZ" w:eastAsia="ko-KR"/>
        </w:rPr>
        <w:t>7</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99</w:t>
      </w:r>
    </w:p>
    <w:p w:rsidR="001974EF" w:rsidRDefault="001974EF" w:rsidP="001974EF">
      <w:pPr>
        <w:tabs>
          <w:tab w:val="left" w:pos="600"/>
        </w:tabs>
        <w:rPr>
          <w:rFonts w:eastAsiaTheme="minorEastAsia"/>
          <w:b/>
          <w:lang w:eastAsia="zh-CN"/>
        </w:rPr>
      </w:pPr>
      <w:r>
        <w:rPr>
          <w:rFonts w:eastAsiaTheme="minorEastAsia" w:hint="eastAsia"/>
          <w:lang w:eastAsia="zh-CN"/>
        </w:rPr>
        <w:t>C</w:t>
      </w:r>
      <w:r>
        <w:rPr>
          <w:rFonts w:eastAsiaTheme="minorEastAsia"/>
          <w:lang w:eastAsia="zh-CN"/>
        </w:rPr>
        <w:t xml:space="preserve">hina supports the ITU-R studies on the spectrum needs, technical and operational characteristics, categorization, identifications of AMRDs and its applications, as well as the studies in relations to regulatory actions within the frequency band 156-162.05 MHz while ensuring the protection of the GMDSS and AIS, in accordance with Resolution </w:t>
      </w:r>
      <w:r w:rsidRPr="0005244F">
        <w:rPr>
          <w:rFonts w:eastAsiaTheme="minorEastAsia"/>
          <w:b/>
          <w:lang w:eastAsia="zh-CN"/>
        </w:rPr>
        <w:t>362 (WRC-15)</w:t>
      </w:r>
      <w:r>
        <w:rPr>
          <w:rFonts w:eastAsiaTheme="minorEastAsia"/>
          <w:b/>
          <w:lang w:eastAsia="zh-CN"/>
        </w:rPr>
        <w:t>.</w:t>
      </w:r>
    </w:p>
    <w:p w:rsidR="001974EF" w:rsidRPr="009562D1" w:rsidRDefault="001974EF" w:rsidP="001974EF">
      <w:pPr>
        <w:tabs>
          <w:tab w:val="left" w:pos="600"/>
        </w:tabs>
        <w:rPr>
          <w:rFonts w:eastAsiaTheme="minorEastAsia"/>
          <w:lang w:eastAsia="zh-CN"/>
        </w:rPr>
      </w:pPr>
      <w:r>
        <w:rPr>
          <w:rFonts w:eastAsiaTheme="minorEastAsia"/>
          <w:lang w:eastAsia="zh-CN"/>
        </w:rPr>
        <w:t xml:space="preserve">China supports </w:t>
      </w:r>
      <w:r>
        <w:rPr>
          <w:rFonts w:eastAsiaTheme="minorEastAsia" w:hint="eastAsia"/>
          <w:lang w:eastAsia="zh-CN"/>
        </w:rPr>
        <w:t>t</w:t>
      </w:r>
      <w:r>
        <w:rPr>
          <w:rFonts w:eastAsiaTheme="minorEastAsia"/>
          <w:lang w:eastAsia="zh-CN"/>
        </w:rPr>
        <w:t>he method A and B1 proposed in the draft CPM text.</w:t>
      </w:r>
    </w:p>
    <w:p w:rsidR="001974EF" w:rsidRDefault="001974EF" w:rsidP="001974EF">
      <w:pPr>
        <w:tabs>
          <w:tab w:val="left" w:pos="600"/>
        </w:tabs>
        <w:rPr>
          <w:rFonts w:eastAsiaTheme="minorEastAsia"/>
          <w:lang w:eastAsia="zh-CN"/>
        </w:rPr>
      </w:pPr>
      <w:r>
        <w:rPr>
          <w:rFonts w:eastAsiaTheme="minorEastAsia" w:hint="eastAsia"/>
          <w:lang w:eastAsia="zh-CN"/>
        </w:rPr>
        <w:t>C</w:t>
      </w:r>
      <w:r>
        <w:rPr>
          <w:rFonts w:eastAsiaTheme="minorEastAsia"/>
          <w:lang w:eastAsia="zh-CN"/>
        </w:rPr>
        <w:t>hina is also of the views that:</w:t>
      </w:r>
    </w:p>
    <w:p w:rsidR="001974EF" w:rsidRDefault="001974EF" w:rsidP="001974EF">
      <w:pPr>
        <w:pStyle w:val="ListParagraph"/>
        <w:numPr>
          <w:ilvl w:val="0"/>
          <w:numId w:val="29"/>
        </w:numPr>
        <w:rPr>
          <w:rFonts w:eastAsiaTheme="minorEastAsia"/>
          <w:lang w:val="en-NZ" w:eastAsia="zh-CN"/>
        </w:rPr>
      </w:pPr>
      <w:r>
        <w:rPr>
          <w:rFonts w:eastAsiaTheme="minorEastAsia"/>
          <w:lang w:val="en-NZ" w:eastAsia="zh-CN"/>
        </w:rPr>
        <w:t>a</w:t>
      </w:r>
      <w:r w:rsidRPr="009562D1">
        <w:rPr>
          <w:rFonts w:eastAsiaTheme="minorEastAsia"/>
          <w:lang w:val="en-NZ" w:eastAsia="zh-CN"/>
        </w:rPr>
        <w:t>utonomous maritime radio device</w:t>
      </w:r>
      <w:r>
        <w:rPr>
          <w:rFonts w:eastAsiaTheme="minorEastAsia"/>
          <w:lang w:val="en-NZ" w:eastAsia="zh-CN"/>
        </w:rPr>
        <w:t>s</w:t>
      </w:r>
      <w:r w:rsidRPr="009562D1">
        <w:rPr>
          <w:rFonts w:eastAsiaTheme="minorEastAsia"/>
          <w:lang w:val="en-NZ" w:eastAsia="zh-CN"/>
        </w:rPr>
        <w:t xml:space="preserve"> should be properly defined </w:t>
      </w:r>
      <w:r>
        <w:rPr>
          <w:rFonts w:eastAsiaTheme="minorEastAsia" w:hint="eastAsia"/>
          <w:lang w:val="en-NZ" w:eastAsia="zh-CN"/>
        </w:rPr>
        <w:t>a</w:t>
      </w:r>
      <w:r>
        <w:rPr>
          <w:rFonts w:eastAsiaTheme="minorEastAsia"/>
          <w:lang w:val="en-NZ" w:eastAsia="zh-CN"/>
        </w:rPr>
        <w:t xml:space="preserve">nd categorized, and </w:t>
      </w:r>
      <w:r w:rsidRPr="009562D1">
        <w:rPr>
          <w:rFonts w:eastAsiaTheme="minorEastAsia"/>
          <w:lang w:val="en-NZ" w:eastAsia="zh-CN"/>
        </w:rPr>
        <w:t>a</w:t>
      </w:r>
      <w:r>
        <w:rPr>
          <w:rFonts w:eastAsiaTheme="minorEastAsia"/>
          <w:lang w:val="en-NZ" w:eastAsia="zh-CN"/>
        </w:rPr>
        <w:t xml:space="preserve"> related</w:t>
      </w:r>
      <w:r w:rsidRPr="009562D1">
        <w:rPr>
          <w:rFonts w:eastAsiaTheme="minorEastAsia"/>
          <w:lang w:val="en-NZ" w:eastAsia="zh-CN"/>
        </w:rPr>
        <w:t xml:space="preserve"> ITU-R Recommendation</w:t>
      </w:r>
      <w:r>
        <w:rPr>
          <w:rFonts w:eastAsiaTheme="minorEastAsia"/>
          <w:lang w:val="en-NZ" w:eastAsia="zh-CN"/>
        </w:rPr>
        <w:t xml:space="preserve"> should be developed</w:t>
      </w:r>
      <w:r w:rsidRPr="009562D1">
        <w:rPr>
          <w:rFonts w:eastAsiaTheme="minorEastAsia" w:hint="eastAsia"/>
          <w:lang w:val="en-NZ" w:eastAsia="zh-CN"/>
        </w:rPr>
        <w:t>;</w:t>
      </w:r>
    </w:p>
    <w:p w:rsidR="001974EF" w:rsidRDefault="001974EF" w:rsidP="001974EF">
      <w:pPr>
        <w:pStyle w:val="ListParagraph"/>
        <w:numPr>
          <w:ilvl w:val="0"/>
          <w:numId w:val="29"/>
        </w:numPr>
        <w:rPr>
          <w:rFonts w:eastAsiaTheme="minorEastAsia"/>
          <w:lang w:val="en-NZ" w:eastAsia="zh-CN"/>
        </w:rPr>
      </w:pPr>
      <w:r w:rsidRPr="009562D1">
        <w:rPr>
          <w:rFonts w:eastAsiaTheme="minorEastAsia"/>
          <w:lang w:val="en-NZ" w:eastAsia="zh-CN"/>
        </w:rPr>
        <w:t xml:space="preserve">AMRDs </w:t>
      </w:r>
      <w:r w:rsidRPr="009562D1">
        <w:rPr>
          <w:rFonts w:eastAsiaTheme="minorEastAsia" w:hint="eastAsia"/>
          <w:lang w:val="en-NZ" w:eastAsia="zh-CN"/>
        </w:rPr>
        <w:t>Group A</w:t>
      </w:r>
      <w:r w:rsidRPr="009562D1">
        <w:rPr>
          <w:rFonts w:eastAsiaTheme="minorEastAsia"/>
          <w:lang w:val="en-NZ" w:eastAsia="zh-CN"/>
        </w:rPr>
        <w:t xml:space="preserve"> </w:t>
      </w:r>
      <w:r w:rsidRPr="009562D1">
        <w:rPr>
          <w:rFonts w:eastAsiaTheme="minorEastAsia" w:hint="eastAsia"/>
          <w:lang w:val="en-NZ" w:eastAsia="zh-CN"/>
        </w:rPr>
        <w:t>sh</w:t>
      </w:r>
      <w:r w:rsidRPr="009562D1">
        <w:rPr>
          <w:rFonts w:eastAsiaTheme="minorEastAsia"/>
          <w:lang w:val="en-NZ" w:eastAsia="zh-CN"/>
        </w:rPr>
        <w:t>ould be regulated for the use of frequencies and identities of the maritime mobile service;</w:t>
      </w:r>
    </w:p>
    <w:p w:rsidR="001974EF" w:rsidRDefault="001974EF" w:rsidP="001974EF">
      <w:pPr>
        <w:pStyle w:val="ListParagraph"/>
        <w:numPr>
          <w:ilvl w:val="0"/>
          <w:numId w:val="29"/>
        </w:numPr>
        <w:rPr>
          <w:rFonts w:eastAsiaTheme="minorEastAsia"/>
          <w:lang w:val="en-NZ" w:eastAsia="zh-CN"/>
        </w:rPr>
      </w:pPr>
      <w:r>
        <w:rPr>
          <w:rFonts w:eastAsiaTheme="minorEastAsia"/>
          <w:lang w:val="en-NZ" w:eastAsia="zh-CN"/>
        </w:rPr>
        <w:t>regulatory actions and technical standards in relation to AMRD should take into account the application status and management needs of AMRD for different administrations;</w:t>
      </w:r>
    </w:p>
    <w:p w:rsidR="001974EF" w:rsidRDefault="001974EF" w:rsidP="001974EF">
      <w:pPr>
        <w:pStyle w:val="ListParagraph"/>
        <w:numPr>
          <w:ilvl w:val="0"/>
          <w:numId w:val="29"/>
        </w:numPr>
        <w:rPr>
          <w:rFonts w:eastAsiaTheme="minorEastAsia"/>
          <w:lang w:val="en-NZ" w:eastAsia="zh-CN"/>
        </w:rPr>
      </w:pPr>
      <w:r w:rsidRPr="009562D1">
        <w:rPr>
          <w:rFonts w:eastAsiaTheme="minorEastAsia"/>
          <w:lang w:val="en-NZ" w:eastAsia="zh-CN"/>
        </w:rPr>
        <w:lastRenderedPageBreak/>
        <w:t>R</w:t>
      </w:r>
      <w:r w:rsidRPr="009562D1">
        <w:rPr>
          <w:rFonts w:eastAsiaTheme="minorEastAsia" w:hint="eastAsia"/>
          <w:lang w:val="en-NZ" w:eastAsia="zh-CN"/>
        </w:rPr>
        <w:t xml:space="preserve">egarding </w:t>
      </w:r>
      <w:r w:rsidRPr="009562D1">
        <w:rPr>
          <w:rFonts w:eastAsiaTheme="minorEastAsia"/>
          <w:lang w:val="en-NZ" w:eastAsia="zh-CN"/>
        </w:rPr>
        <w:t xml:space="preserve">AMRDs </w:t>
      </w:r>
      <w:r w:rsidRPr="009562D1">
        <w:rPr>
          <w:rFonts w:eastAsiaTheme="minorEastAsia" w:hint="eastAsia"/>
          <w:lang w:val="en-NZ" w:eastAsia="zh-CN"/>
        </w:rPr>
        <w:t>Group B</w:t>
      </w:r>
      <w:r w:rsidRPr="009562D1">
        <w:rPr>
          <w:rFonts w:eastAsiaTheme="minorEastAsia"/>
          <w:lang w:val="en-NZ" w:eastAsia="zh-CN"/>
        </w:rPr>
        <w:t>, regulation of the use of frequencies, and technical and operational characteristics, should benefit both the user of devices as well as coexistence with maritime safety devices and applications. I</w:t>
      </w:r>
      <w:r w:rsidRPr="009562D1">
        <w:rPr>
          <w:rFonts w:eastAsiaTheme="minorEastAsia" w:hint="eastAsia"/>
          <w:lang w:val="en-NZ" w:eastAsia="zh-CN"/>
        </w:rPr>
        <w:t>dentification of</w:t>
      </w:r>
      <w:r w:rsidRPr="009562D1">
        <w:rPr>
          <w:rFonts w:eastAsiaTheme="minorEastAsia"/>
          <w:lang w:val="en-NZ" w:eastAsia="zh-CN"/>
        </w:rPr>
        <w:t xml:space="preserve"> additional spectrum within the frequency band 156-162.05 MHz</w:t>
      </w:r>
      <w:r w:rsidRPr="009562D1">
        <w:rPr>
          <w:rFonts w:eastAsiaTheme="minorEastAsia" w:hint="eastAsia"/>
          <w:lang w:val="en-NZ" w:eastAsia="zh-CN"/>
        </w:rPr>
        <w:t xml:space="preserve"> </w:t>
      </w:r>
      <w:r w:rsidRPr="009562D1">
        <w:rPr>
          <w:rFonts w:eastAsiaTheme="minorEastAsia"/>
          <w:lang w:val="en-NZ" w:eastAsia="zh-CN"/>
        </w:rPr>
        <w:t>and the numbering issue should be considered;</w:t>
      </w:r>
    </w:p>
    <w:p w:rsidR="001974EF" w:rsidRDefault="001974EF" w:rsidP="001974EF">
      <w:pPr>
        <w:pStyle w:val="ListParagraph"/>
        <w:numPr>
          <w:ilvl w:val="0"/>
          <w:numId w:val="29"/>
        </w:numPr>
        <w:rPr>
          <w:rFonts w:eastAsiaTheme="minorEastAsia"/>
          <w:lang w:val="en-NZ" w:eastAsia="zh-CN"/>
        </w:rPr>
      </w:pPr>
      <w:proofErr w:type="gramStart"/>
      <w:r>
        <w:rPr>
          <w:rFonts w:eastAsiaTheme="minorEastAsia"/>
          <w:lang w:val="en-NZ" w:eastAsia="zh-CN"/>
        </w:rPr>
        <w:t>a</w:t>
      </w:r>
      <w:r w:rsidRPr="009562D1">
        <w:rPr>
          <w:rFonts w:eastAsiaTheme="minorEastAsia"/>
          <w:lang w:val="en-NZ" w:eastAsia="zh-CN"/>
        </w:rPr>
        <w:t>ny</w:t>
      </w:r>
      <w:proofErr w:type="gramEnd"/>
      <w:r w:rsidRPr="009562D1">
        <w:rPr>
          <w:rFonts w:eastAsiaTheme="minorEastAsia"/>
          <w:lang w:val="en-NZ" w:eastAsia="zh-CN"/>
        </w:rPr>
        <w:t xml:space="preserve"> </w:t>
      </w:r>
      <w:r w:rsidRPr="009562D1">
        <w:rPr>
          <w:rFonts w:eastAsiaTheme="minorEastAsia" w:hint="eastAsia"/>
          <w:lang w:val="en-NZ" w:eastAsia="zh-CN"/>
        </w:rPr>
        <w:t>i</w:t>
      </w:r>
      <w:r w:rsidRPr="009562D1">
        <w:rPr>
          <w:rFonts w:eastAsiaTheme="minorEastAsia"/>
          <w:lang w:val="en-NZ" w:eastAsia="zh-CN"/>
        </w:rPr>
        <w:t xml:space="preserve">dentification of additional spectrum for AMRDs </w:t>
      </w:r>
      <w:r w:rsidRPr="009562D1">
        <w:rPr>
          <w:rFonts w:eastAsiaTheme="minorEastAsia" w:hint="eastAsia"/>
          <w:lang w:val="en-NZ" w:eastAsia="zh-CN"/>
        </w:rPr>
        <w:t>Group B</w:t>
      </w:r>
      <w:r w:rsidRPr="009562D1">
        <w:rPr>
          <w:rFonts w:eastAsiaTheme="minorEastAsia"/>
          <w:lang w:val="en-NZ" w:eastAsia="zh-CN"/>
        </w:rPr>
        <w:t xml:space="preserve"> should not cause harmful interference or any impact on the existing services within the frequency band and the adjacent bands. In this regard mitigation technique of interference such as limitation of output power of AMRDs (to 1 watt as an example) should be considered</w:t>
      </w:r>
      <w:r w:rsidRPr="009562D1">
        <w:rPr>
          <w:rFonts w:eastAsiaTheme="minorEastAsia" w:hint="eastAsia"/>
          <w:lang w:val="en-NZ" w:eastAsia="zh-CN"/>
        </w:rPr>
        <w:t>;</w:t>
      </w:r>
    </w:p>
    <w:p w:rsidR="001974EF" w:rsidRDefault="001974EF" w:rsidP="001974EF">
      <w:pPr>
        <w:pStyle w:val="ListParagraph"/>
        <w:numPr>
          <w:ilvl w:val="0"/>
          <w:numId w:val="29"/>
        </w:numPr>
        <w:rPr>
          <w:rFonts w:eastAsiaTheme="minorEastAsia"/>
          <w:lang w:val="en-NZ" w:eastAsia="zh-CN"/>
        </w:rPr>
      </w:pPr>
      <w:r w:rsidRPr="009562D1">
        <w:rPr>
          <w:rFonts w:eastAsiaTheme="minorEastAsia"/>
          <w:lang w:val="en-NZ" w:eastAsia="zh-CN"/>
        </w:rPr>
        <w:t>any regulatory action of AMRD Gr</w:t>
      </w:r>
      <w:r w:rsidRPr="009562D1">
        <w:rPr>
          <w:rFonts w:eastAsiaTheme="minorEastAsia" w:hint="eastAsia"/>
          <w:lang w:val="en-NZ" w:eastAsia="zh-CN"/>
        </w:rPr>
        <w:t>o</w:t>
      </w:r>
      <w:r w:rsidRPr="009562D1">
        <w:rPr>
          <w:rFonts w:eastAsiaTheme="minorEastAsia"/>
          <w:lang w:val="en-NZ" w:eastAsia="zh-CN"/>
        </w:rPr>
        <w:t>up B within the frequency band 156-162.05 MHz, should also consider the limited numbering resources of MMSI and also consider the implementation transition period when the operation of autonomous maritime radio devices bring in to use</w:t>
      </w:r>
      <w:r w:rsidRPr="009562D1">
        <w:rPr>
          <w:rFonts w:eastAsiaTheme="minorEastAsia" w:hint="eastAsia"/>
          <w:lang w:val="en-NZ" w:eastAsia="zh-CN"/>
        </w:rPr>
        <w:t>;</w:t>
      </w:r>
    </w:p>
    <w:p w:rsidR="001974EF" w:rsidRDefault="001974EF" w:rsidP="001974EF">
      <w:pPr>
        <w:rPr>
          <w:rFonts w:eastAsiaTheme="minorEastAsia"/>
          <w:lang w:val="en-NZ" w:eastAsia="zh-CN"/>
        </w:rPr>
      </w:pPr>
      <w:r w:rsidRPr="009562D1">
        <w:rPr>
          <w:rFonts w:eastAsiaTheme="minorEastAsia"/>
          <w:lang w:val="en-NZ" w:eastAsia="zh-CN"/>
        </w:rPr>
        <w:t>Search and rescue aircraft system operating in maritime frequencies must be protected</w:t>
      </w:r>
      <w:r w:rsidRPr="009562D1">
        <w:rPr>
          <w:rFonts w:eastAsiaTheme="minorEastAsia" w:hint="eastAsia"/>
          <w:lang w:val="en-NZ" w:eastAsia="zh-CN"/>
        </w:rPr>
        <w:t>.</w:t>
      </w:r>
    </w:p>
    <w:p w:rsidR="001974EF" w:rsidRDefault="001974EF" w:rsidP="001974EF">
      <w:pPr>
        <w:rPr>
          <w:rFonts w:eastAsiaTheme="minorEastAsia"/>
          <w:lang w:val="en-NZ" w:eastAsia="zh-CN"/>
        </w:rPr>
      </w:pPr>
    </w:p>
    <w:p w:rsidR="001974EF" w:rsidRDefault="001974EF" w:rsidP="001974EF">
      <w:pPr>
        <w:rPr>
          <w:b/>
          <w:lang w:val="en-NZ" w:eastAsia="ko-KR"/>
        </w:rPr>
      </w:pPr>
      <w:r w:rsidRPr="00441526">
        <w:rPr>
          <w:b/>
          <w:lang w:val="en-NZ" w:eastAsia="ko-KR"/>
        </w:rPr>
        <w:t>3.1.</w:t>
      </w:r>
      <w:r>
        <w:rPr>
          <w:b/>
          <w:lang w:val="en-NZ" w:eastAsia="ko-KR"/>
        </w:rPr>
        <w:t>8</w:t>
      </w:r>
      <w:r w:rsidRPr="00441526">
        <w:rPr>
          <w:b/>
          <w:lang w:val="en-NZ" w:eastAsia="ko-KR"/>
        </w:rPr>
        <w:tab/>
      </w:r>
      <w:r>
        <w:rPr>
          <w:b/>
          <w:lang w:val="en-NZ" w:eastAsia="ko-KR"/>
        </w:rPr>
        <w:t>Indonesia</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122</w:t>
      </w:r>
    </w:p>
    <w:p w:rsidR="001974EF" w:rsidRPr="001974EF" w:rsidRDefault="001974EF" w:rsidP="001974EF">
      <w:pPr>
        <w:tabs>
          <w:tab w:val="left" w:pos="600"/>
        </w:tabs>
        <w:jc w:val="both"/>
        <w:rPr>
          <w:color w:val="FF0000"/>
        </w:rPr>
      </w:pPr>
      <w:r w:rsidRPr="00C63E12">
        <w:rPr>
          <w:color w:val="000000" w:themeColor="text1"/>
        </w:rPr>
        <w:t xml:space="preserve">Indonesia support implementation of AMRD </w:t>
      </w:r>
      <w:r>
        <w:rPr>
          <w:color w:val="000000" w:themeColor="text1"/>
        </w:rPr>
        <w:t>g</w:t>
      </w:r>
      <w:r w:rsidRPr="00C63E12">
        <w:rPr>
          <w:color w:val="000000" w:themeColor="text1"/>
        </w:rPr>
        <w:t>r</w:t>
      </w:r>
      <w:r>
        <w:rPr>
          <w:color w:val="000000" w:themeColor="text1"/>
        </w:rPr>
        <w:t>o</w:t>
      </w:r>
      <w:r w:rsidRPr="00C63E12">
        <w:rPr>
          <w:color w:val="000000" w:themeColor="text1"/>
        </w:rPr>
        <w:t>up A on certain channels in Appendix 18. Indonesia also of the view that any regulatory action of AMRD should</w:t>
      </w:r>
      <w:r>
        <w:rPr>
          <w:color w:val="000000" w:themeColor="text1"/>
        </w:rPr>
        <w:t xml:space="preserve"> </w:t>
      </w:r>
      <w:r w:rsidRPr="00C63E12">
        <w:rPr>
          <w:color w:val="000000" w:themeColor="text1"/>
        </w:rPr>
        <w:t>conside</w:t>
      </w:r>
      <w:r w:rsidRPr="00C63E12">
        <w:t xml:space="preserve">r the implementation transition period when the operation of autonomous maritime radio devices bring in to </w:t>
      </w:r>
      <w:r w:rsidRPr="00C63E12">
        <w:rPr>
          <w:color w:val="000000" w:themeColor="text1"/>
        </w:rPr>
        <w:t>use.</w:t>
      </w:r>
    </w:p>
    <w:p w:rsidR="001974EF" w:rsidRPr="00441526" w:rsidRDefault="001974EF" w:rsidP="001974EF">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1F4AAC" w:rsidRPr="001F4AAC" w:rsidRDefault="00C04A7B" w:rsidP="003D3D47">
      <w:pPr>
        <w:jc w:val="both"/>
        <w:rPr>
          <w:rFonts w:eastAsiaTheme="minorEastAsia"/>
          <w:lang w:val="en-NZ" w:eastAsia="zh-CN"/>
        </w:rPr>
      </w:pPr>
      <w:r>
        <w:rPr>
          <w:rFonts w:eastAsiaTheme="minorEastAsia" w:hint="eastAsia"/>
          <w:lang w:val="en-NZ" w:eastAsia="zh-CN"/>
        </w:rPr>
        <w:t xml:space="preserve"> </w:t>
      </w:r>
      <w:r w:rsidR="001F4AAC">
        <w:rPr>
          <w:rFonts w:eastAsiaTheme="minorEastAsia"/>
          <w:lang w:val="en-NZ" w:eastAsia="zh-CN"/>
        </w:rPr>
        <w:t xml:space="preserve">Noting that </w:t>
      </w:r>
      <w:r>
        <w:rPr>
          <w:rFonts w:eastAsiaTheme="minorEastAsia"/>
          <w:lang w:val="en-NZ" w:eastAsia="zh-CN"/>
        </w:rPr>
        <w:t xml:space="preserve">modifications to the draft CPM report is possible </w:t>
      </w:r>
      <w:r w:rsidR="003B3B53">
        <w:rPr>
          <w:rFonts w:eastAsiaTheme="minorEastAsia"/>
          <w:lang w:val="en-NZ" w:eastAsia="zh-CN"/>
        </w:rPr>
        <w:t>at</w:t>
      </w:r>
      <w:r>
        <w:rPr>
          <w:rFonts w:eastAsiaTheme="minorEastAsia"/>
          <w:lang w:val="en-NZ" w:eastAsia="zh-CN"/>
        </w:rPr>
        <w:t xml:space="preserve"> the </w:t>
      </w:r>
      <w:r w:rsidR="00CA251B">
        <w:rPr>
          <w:rFonts w:eastAsiaTheme="minorEastAsia"/>
          <w:lang w:val="en-NZ" w:eastAsia="zh-CN"/>
        </w:rPr>
        <w:t>up</w:t>
      </w:r>
      <w:r>
        <w:rPr>
          <w:rFonts w:eastAsiaTheme="minorEastAsia"/>
          <w:lang w:val="en-NZ" w:eastAsia="zh-CN"/>
        </w:rPr>
        <w:t>coming CPM 19-2 meeting</w:t>
      </w:r>
      <w:r w:rsidR="005C5361">
        <w:rPr>
          <w:rFonts w:eastAsiaTheme="minorEastAsia"/>
          <w:lang w:val="en-NZ" w:eastAsia="zh-CN"/>
        </w:rPr>
        <w:t xml:space="preserve"> and APT Members have different views on the method</w:t>
      </w:r>
      <w:r w:rsidR="00764945">
        <w:rPr>
          <w:rFonts w:eastAsiaTheme="minorEastAsia" w:hint="eastAsia"/>
          <w:lang w:val="en-NZ" w:eastAsia="zh-CN"/>
        </w:rPr>
        <w:t>s</w:t>
      </w:r>
      <w:r w:rsidR="005C5361">
        <w:rPr>
          <w:rFonts w:eastAsiaTheme="minorEastAsia"/>
          <w:lang w:val="en-NZ" w:eastAsia="zh-CN"/>
        </w:rPr>
        <w:t xml:space="preserve"> to satisfy the WRC-19 agenda item 1.9.1,</w:t>
      </w:r>
      <w:r>
        <w:rPr>
          <w:rFonts w:eastAsiaTheme="minorEastAsia"/>
          <w:lang w:val="en-NZ" w:eastAsia="zh-CN"/>
        </w:rPr>
        <w:t xml:space="preserve"> the APT preliminary views may need further updates at the next APG meeting.</w:t>
      </w:r>
    </w:p>
    <w:p w:rsidR="005206E9" w:rsidRDefault="005206E9">
      <w:pPr>
        <w:rPr>
          <w:b/>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rsidR="001974EF" w:rsidRDefault="001974EF" w:rsidP="001974EF">
      <w:pPr>
        <w:tabs>
          <w:tab w:val="left" w:pos="600"/>
        </w:tabs>
        <w:rPr>
          <w:rFonts w:eastAsiaTheme="minorEastAsia"/>
          <w:b/>
          <w:lang w:eastAsia="zh-CN"/>
        </w:rPr>
      </w:pPr>
      <w:r>
        <w:rPr>
          <w:rFonts w:eastAsiaTheme="minorEastAsia"/>
          <w:lang w:eastAsia="zh-CN"/>
        </w:rPr>
        <w:t xml:space="preserve">APT Members support the ITU-R studies on the spectrum needs, technical and operational characteristics, categorization, identifications of AMRDs and its applications, as well as the studies in relations to regulatory actions within the frequency band 156-162.05 MHz while ensuring the protection of the GMDSS and AIS, in accordance with Resolution </w:t>
      </w:r>
      <w:r w:rsidRPr="0005244F">
        <w:rPr>
          <w:rFonts w:eastAsiaTheme="minorEastAsia"/>
          <w:b/>
          <w:lang w:eastAsia="zh-CN"/>
        </w:rPr>
        <w:t>362 (WRC-15)</w:t>
      </w:r>
      <w:r>
        <w:rPr>
          <w:rFonts w:eastAsiaTheme="minorEastAsia"/>
          <w:b/>
          <w:lang w:eastAsia="zh-CN"/>
        </w:rPr>
        <w:t>.</w:t>
      </w:r>
    </w:p>
    <w:p w:rsidR="00F33A78" w:rsidRPr="00527F20" w:rsidRDefault="00193ED0" w:rsidP="00FC300D">
      <w:pPr>
        <w:tabs>
          <w:tab w:val="left" w:pos="600"/>
        </w:tabs>
        <w:rPr>
          <w:rFonts w:eastAsiaTheme="minorEastAsia"/>
          <w:lang w:eastAsia="zh-CN"/>
        </w:rPr>
      </w:pPr>
      <w:r w:rsidDel="00193ED0">
        <w:rPr>
          <w:rFonts w:eastAsiaTheme="minorEastAsia"/>
          <w:lang w:eastAsia="zh-CN"/>
        </w:rPr>
        <w:t xml:space="preserve"> </w:t>
      </w:r>
      <w:r w:rsidR="00527F20">
        <w:rPr>
          <w:rFonts w:eastAsiaTheme="minorEastAsia" w:hint="eastAsia"/>
          <w:lang w:eastAsia="zh-CN"/>
        </w:rPr>
        <w:t>A</w:t>
      </w:r>
      <w:r w:rsidR="00527F20">
        <w:rPr>
          <w:rFonts w:eastAsiaTheme="minorEastAsia"/>
          <w:lang w:eastAsia="zh-CN"/>
        </w:rPr>
        <w:t xml:space="preserve">PT Members support </w:t>
      </w:r>
      <w:r w:rsidR="00527F20" w:rsidRPr="00B80A54">
        <w:t xml:space="preserve">amendments to the footnote </w:t>
      </w:r>
      <w:r w:rsidR="00527F20" w:rsidRPr="00B80A54">
        <w:rPr>
          <w:i/>
        </w:rPr>
        <w:t>f)</w:t>
      </w:r>
      <w:r w:rsidR="00527F20" w:rsidRPr="00B80A54">
        <w:t xml:space="preserve"> in RR Appendix </w:t>
      </w:r>
      <w:r w:rsidR="00527F20" w:rsidRPr="00B80A54">
        <w:rPr>
          <w:b/>
          <w:bCs/>
        </w:rPr>
        <w:t>18</w:t>
      </w:r>
      <w:r w:rsidR="00527F20" w:rsidRPr="00B80A54">
        <w:t xml:space="preserve"> to allow</w:t>
      </w:r>
      <w:r w:rsidR="00527F20" w:rsidRPr="009110F4">
        <w:t xml:space="preserve"> </w:t>
      </w:r>
      <w:r w:rsidR="00527F20">
        <w:t>G</w:t>
      </w:r>
      <w:r w:rsidR="00527F20" w:rsidRPr="00B80A54">
        <w:t xml:space="preserve">roup </w:t>
      </w:r>
      <w:proofErr w:type="gramStart"/>
      <w:r w:rsidR="00527F20" w:rsidRPr="00B80A54">
        <w:t>A</w:t>
      </w:r>
      <w:proofErr w:type="gramEnd"/>
      <w:r w:rsidR="00527F20" w:rsidRPr="00B80A54">
        <w:t xml:space="preserve"> AMRD to operate on certain channels</w:t>
      </w:r>
      <w:r w:rsidR="00527F20">
        <w:t xml:space="preserve">, and </w:t>
      </w:r>
      <w:r w:rsidR="002F6B16">
        <w:t xml:space="preserve">support </w:t>
      </w:r>
      <w:r w:rsidR="00527F20">
        <w:t>the</w:t>
      </w:r>
      <w:r w:rsidR="00527F20" w:rsidRPr="00B80A54">
        <w:t xml:space="preserve"> us</w:t>
      </w:r>
      <w:r w:rsidR="00527F20">
        <w:t>ing of</w:t>
      </w:r>
      <w:r w:rsidR="00527F20" w:rsidRPr="00B80A54">
        <w:t xml:space="preserve"> channel 2006 as listed in RR Appendix </w:t>
      </w:r>
      <w:r w:rsidR="00527F20" w:rsidRPr="00B80A54">
        <w:rPr>
          <w:b/>
        </w:rPr>
        <w:t>18</w:t>
      </w:r>
      <w:r w:rsidR="00527F20" w:rsidRPr="00B80A54">
        <w:t xml:space="preserve"> for </w:t>
      </w:r>
      <w:r w:rsidR="00527F20">
        <w:t xml:space="preserve">Group B AMRD using </w:t>
      </w:r>
      <w:r w:rsidR="00527F20" w:rsidRPr="00B80A54">
        <w:t>AIS technology</w:t>
      </w:r>
      <w:r w:rsidR="00527F20">
        <w:t>.</w:t>
      </w:r>
    </w:p>
    <w:p w:rsidR="00527F20" w:rsidRDefault="00527F20" w:rsidP="00FC300D">
      <w:pPr>
        <w:tabs>
          <w:tab w:val="left" w:pos="600"/>
        </w:tabs>
        <w:rPr>
          <w:rFonts w:eastAsiaTheme="minorEastAsia"/>
          <w:lang w:eastAsia="zh-CN"/>
        </w:rPr>
      </w:pPr>
    </w:p>
    <w:p w:rsidR="001974EF" w:rsidRDefault="001974EF" w:rsidP="001974EF">
      <w:pPr>
        <w:tabs>
          <w:tab w:val="left" w:pos="600"/>
        </w:tabs>
        <w:rPr>
          <w:rFonts w:eastAsiaTheme="minorEastAsia"/>
          <w:lang w:eastAsia="zh-CN"/>
        </w:rPr>
      </w:pPr>
      <w:r>
        <w:rPr>
          <w:rFonts w:eastAsiaTheme="minorEastAsia"/>
          <w:lang w:eastAsia="zh-CN"/>
        </w:rPr>
        <w:t>APT Members are also of the views that:</w:t>
      </w:r>
    </w:p>
    <w:p w:rsidR="001974EF" w:rsidRDefault="001974EF" w:rsidP="001974EF">
      <w:pPr>
        <w:pStyle w:val="ListParagraph"/>
        <w:numPr>
          <w:ilvl w:val="0"/>
          <w:numId w:val="29"/>
        </w:numPr>
        <w:rPr>
          <w:rFonts w:eastAsiaTheme="minorEastAsia"/>
          <w:lang w:val="en-NZ" w:eastAsia="zh-CN"/>
        </w:rPr>
      </w:pPr>
      <w:r>
        <w:rPr>
          <w:rFonts w:eastAsiaTheme="minorEastAsia"/>
          <w:lang w:val="en-NZ" w:eastAsia="zh-CN"/>
        </w:rPr>
        <w:t>a</w:t>
      </w:r>
      <w:r w:rsidRPr="009562D1">
        <w:rPr>
          <w:rFonts w:eastAsiaTheme="minorEastAsia"/>
          <w:lang w:val="en-NZ" w:eastAsia="zh-CN"/>
        </w:rPr>
        <w:t>utonomous maritime radio device</w:t>
      </w:r>
      <w:r>
        <w:rPr>
          <w:rFonts w:eastAsiaTheme="minorEastAsia"/>
          <w:lang w:val="en-NZ" w:eastAsia="zh-CN"/>
        </w:rPr>
        <w:t>s</w:t>
      </w:r>
      <w:r w:rsidRPr="009562D1">
        <w:rPr>
          <w:rFonts w:eastAsiaTheme="minorEastAsia"/>
          <w:lang w:val="en-NZ" w:eastAsia="zh-CN"/>
        </w:rPr>
        <w:t xml:space="preserve"> should be properly defined </w:t>
      </w:r>
      <w:r>
        <w:rPr>
          <w:rFonts w:eastAsiaTheme="minorEastAsia" w:hint="eastAsia"/>
          <w:lang w:val="en-NZ" w:eastAsia="zh-CN"/>
        </w:rPr>
        <w:t>a</w:t>
      </w:r>
      <w:r>
        <w:rPr>
          <w:rFonts w:eastAsiaTheme="minorEastAsia"/>
          <w:lang w:val="en-NZ" w:eastAsia="zh-CN"/>
        </w:rPr>
        <w:t xml:space="preserve">nd categorized, and </w:t>
      </w:r>
      <w:r w:rsidRPr="009562D1">
        <w:rPr>
          <w:rFonts w:eastAsiaTheme="minorEastAsia"/>
          <w:lang w:val="en-NZ" w:eastAsia="zh-CN"/>
        </w:rPr>
        <w:t>a</w:t>
      </w:r>
      <w:r>
        <w:rPr>
          <w:rFonts w:eastAsiaTheme="minorEastAsia"/>
          <w:lang w:val="en-NZ" w:eastAsia="zh-CN"/>
        </w:rPr>
        <w:t xml:space="preserve"> related</w:t>
      </w:r>
      <w:r w:rsidRPr="009562D1">
        <w:rPr>
          <w:rFonts w:eastAsiaTheme="minorEastAsia"/>
          <w:lang w:val="en-NZ" w:eastAsia="zh-CN"/>
        </w:rPr>
        <w:t xml:space="preserve"> ITU-R Recommendation</w:t>
      </w:r>
      <w:r>
        <w:rPr>
          <w:rFonts w:eastAsiaTheme="minorEastAsia"/>
          <w:lang w:val="en-NZ" w:eastAsia="zh-CN"/>
        </w:rPr>
        <w:t xml:space="preserve"> should be developed</w:t>
      </w:r>
      <w:r w:rsidR="00BA310D">
        <w:rPr>
          <w:rFonts w:eastAsiaTheme="minorEastAsia"/>
          <w:lang w:val="en-NZ" w:eastAsia="zh-CN"/>
        </w:rPr>
        <w:t xml:space="preserve"> </w:t>
      </w:r>
      <w:r w:rsidR="00BA310D" w:rsidRPr="005C5361">
        <w:rPr>
          <w:rFonts w:eastAsiaTheme="minorEastAsia"/>
          <w:lang w:val="en-NZ" w:eastAsia="zh-CN"/>
        </w:rPr>
        <w:t>considering the overload of AIS VHF data link and the importance of DSC distress alerting</w:t>
      </w:r>
      <w:r w:rsidRPr="009562D1">
        <w:rPr>
          <w:rFonts w:eastAsiaTheme="minorEastAsia" w:hint="eastAsia"/>
          <w:lang w:val="en-NZ" w:eastAsia="zh-CN"/>
        </w:rPr>
        <w:t>;</w:t>
      </w:r>
    </w:p>
    <w:p w:rsidR="004366DE" w:rsidRPr="00A32284" w:rsidRDefault="006F0AB1" w:rsidP="00A32284">
      <w:pPr>
        <w:pStyle w:val="ListParagraph"/>
        <w:numPr>
          <w:ilvl w:val="0"/>
          <w:numId w:val="29"/>
        </w:numPr>
        <w:rPr>
          <w:rFonts w:eastAsiaTheme="minorEastAsia"/>
          <w:lang w:val="en-NZ" w:eastAsia="zh-CN"/>
        </w:rPr>
      </w:pPr>
      <w:r w:rsidRPr="009562D1">
        <w:rPr>
          <w:rFonts w:eastAsiaTheme="minorEastAsia" w:hint="eastAsia"/>
          <w:lang w:val="en-NZ" w:eastAsia="zh-CN"/>
        </w:rPr>
        <w:t>Group A</w:t>
      </w:r>
      <w:r w:rsidRPr="009562D1">
        <w:rPr>
          <w:rFonts w:eastAsiaTheme="minorEastAsia"/>
          <w:lang w:val="en-NZ" w:eastAsia="zh-CN"/>
        </w:rPr>
        <w:t xml:space="preserve"> </w:t>
      </w:r>
      <w:r w:rsidR="001974EF" w:rsidRPr="009562D1">
        <w:rPr>
          <w:rFonts w:eastAsiaTheme="minorEastAsia"/>
          <w:lang w:val="en-NZ" w:eastAsia="zh-CN"/>
        </w:rPr>
        <w:t xml:space="preserve">AMRD </w:t>
      </w:r>
      <w:r w:rsidR="001974EF" w:rsidRPr="009562D1">
        <w:rPr>
          <w:rFonts w:eastAsiaTheme="minorEastAsia" w:hint="eastAsia"/>
          <w:lang w:val="en-NZ" w:eastAsia="zh-CN"/>
        </w:rPr>
        <w:t>sh</w:t>
      </w:r>
      <w:r w:rsidR="001974EF" w:rsidRPr="009562D1">
        <w:rPr>
          <w:rFonts w:eastAsiaTheme="minorEastAsia"/>
          <w:lang w:val="en-NZ" w:eastAsia="zh-CN"/>
        </w:rPr>
        <w:t>ould be regulated for the use of frequencies and identities of the maritime mobile service;</w:t>
      </w:r>
    </w:p>
    <w:p w:rsidR="001974EF" w:rsidRDefault="001974EF" w:rsidP="001974EF">
      <w:pPr>
        <w:pStyle w:val="ListParagraph"/>
        <w:numPr>
          <w:ilvl w:val="0"/>
          <w:numId w:val="29"/>
        </w:numPr>
        <w:rPr>
          <w:rFonts w:eastAsiaTheme="minorEastAsia"/>
          <w:lang w:val="en-NZ" w:eastAsia="zh-CN"/>
        </w:rPr>
      </w:pPr>
      <w:r w:rsidRPr="009562D1">
        <w:rPr>
          <w:rFonts w:eastAsiaTheme="minorEastAsia"/>
          <w:lang w:val="en-NZ" w:eastAsia="zh-CN"/>
        </w:rPr>
        <w:t>R</w:t>
      </w:r>
      <w:r w:rsidRPr="009562D1">
        <w:rPr>
          <w:rFonts w:eastAsiaTheme="minorEastAsia" w:hint="eastAsia"/>
          <w:lang w:val="en-NZ" w:eastAsia="zh-CN"/>
        </w:rPr>
        <w:t xml:space="preserve">egarding </w:t>
      </w:r>
      <w:r w:rsidR="00FB285D" w:rsidRPr="009562D1">
        <w:rPr>
          <w:rFonts w:eastAsiaTheme="minorEastAsia" w:hint="eastAsia"/>
          <w:lang w:val="en-NZ" w:eastAsia="zh-CN"/>
        </w:rPr>
        <w:t>Group B</w:t>
      </w:r>
      <w:r w:rsidR="00FB285D" w:rsidRPr="009562D1">
        <w:rPr>
          <w:rFonts w:eastAsiaTheme="minorEastAsia"/>
          <w:lang w:val="en-NZ" w:eastAsia="zh-CN"/>
        </w:rPr>
        <w:t xml:space="preserve"> </w:t>
      </w:r>
      <w:r w:rsidRPr="009562D1">
        <w:rPr>
          <w:rFonts w:eastAsiaTheme="minorEastAsia"/>
          <w:lang w:val="en-NZ" w:eastAsia="zh-CN"/>
        </w:rPr>
        <w:t>AMRD, regulation of the use of frequencies, and technical and operational characteristics, should benefit both the user of devices as well as coexistence with maritime safety devices and applications. I</w:t>
      </w:r>
      <w:r w:rsidRPr="009562D1">
        <w:rPr>
          <w:rFonts w:eastAsiaTheme="minorEastAsia" w:hint="eastAsia"/>
          <w:lang w:val="en-NZ" w:eastAsia="zh-CN"/>
        </w:rPr>
        <w:t>dentification of</w:t>
      </w:r>
      <w:r w:rsidRPr="009562D1">
        <w:rPr>
          <w:rFonts w:eastAsiaTheme="minorEastAsia"/>
          <w:lang w:val="en-NZ" w:eastAsia="zh-CN"/>
        </w:rPr>
        <w:t xml:space="preserve"> spectrum </w:t>
      </w:r>
      <w:r w:rsidR="00FB285D">
        <w:rPr>
          <w:rFonts w:eastAsiaTheme="minorEastAsia"/>
          <w:lang w:val="en-NZ" w:eastAsia="zh-CN"/>
        </w:rPr>
        <w:t>in Appendix 18</w:t>
      </w:r>
      <w:r w:rsidRPr="009562D1">
        <w:rPr>
          <w:rFonts w:eastAsiaTheme="minorEastAsia" w:hint="eastAsia"/>
          <w:lang w:val="en-NZ" w:eastAsia="zh-CN"/>
        </w:rPr>
        <w:t xml:space="preserve"> </w:t>
      </w:r>
      <w:r w:rsidR="00FB285D">
        <w:rPr>
          <w:rFonts w:eastAsiaTheme="minorEastAsia"/>
          <w:lang w:val="en-NZ" w:eastAsia="zh-CN"/>
        </w:rPr>
        <w:t xml:space="preserve">of the Radio Regulations </w:t>
      </w:r>
      <w:r w:rsidRPr="009562D1">
        <w:rPr>
          <w:rFonts w:eastAsiaTheme="minorEastAsia"/>
          <w:lang w:val="en-NZ" w:eastAsia="zh-CN"/>
        </w:rPr>
        <w:t>and the numbering issue should be considered;</w:t>
      </w:r>
    </w:p>
    <w:p w:rsidR="001974EF" w:rsidRDefault="001974EF" w:rsidP="001974EF">
      <w:pPr>
        <w:pStyle w:val="ListParagraph"/>
        <w:numPr>
          <w:ilvl w:val="0"/>
          <w:numId w:val="29"/>
        </w:numPr>
        <w:rPr>
          <w:rFonts w:eastAsiaTheme="minorEastAsia"/>
          <w:lang w:val="en-NZ" w:eastAsia="zh-CN"/>
        </w:rPr>
      </w:pPr>
      <w:proofErr w:type="gramStart"/>
      <w:r>
        <w:rPr>
          <w:rFonts w:eastAsiaTheme="minorEastAsia"/>
          <w:lang w:val="en-NZ" w:eastAsia="zh-CN"/>
        </w:rPr>
        <w:t>a</w:t>
      </w:r>
      <w:r w:rsidRPr="009562D1">
        <w:rPr>
          <w:rFonts w:eastAsiaTheme="minorEastAsia"/>
          <w:lang w:val="en-NZ" w:eastAsia="zh-CN"/>
        </w:rPr>
        <w:t>ny</w:t>
      </w:r>
      <w:proofErr w:type="gramEnd"/>
      <w:r w:rsidRPr="009562D1">
        <w:rPr>
          <w:rFonts w:eastAsiaTheme="minorEastAsia"/>
          <w:lang w:val="en-NZ" w:eastAsia="zh-CN"/>
        </w:rPr>
        <w:t xml:space="preserve"> </w:t>
      </w:r>
      <w:r w:rsidRPr="009562D1">
        <w:rPr>
          <w:rFonts w:eastAsiaTheme="minorEastAsia" w:hint="eastAsia"/>
          <w:lang w:val="en-NZ" w:eastAsia="zh-CN"/>
        </w:rPr>
        <w:t>i</w:t>
      </w:r>
      <w:r w:rsidRPr="009562D1">
        <w:rPr>
          <w:rFonts w:eastAsiaTheme="minorEastAsia"/>
          <w:lang w:val="en-NZ" w:eastAsia="zh-CN"/>
        </w:rPr>
        <w:t xml:space="preserve">dentification of spectrum for </w:t>
      </w:r>
      <w:r w:rsidR="00FB285D" w:rsidRPr="009562D1">
        <w:rPr>
          <w:rFonts w:eastAsiaTheme="minorEastAsia" w:hint="eastAsia"/>
          <w:lang w:val="en-NZ" w:eastAsia="zh-CN"/>
        </w:rPr>
        <w:t>Group B</w:t>
      </w:r>
      <w:r w:rsidR="00FB285D" w:rsidRPr="009562D1">
        <w:rPr>
          <w:rFonts w:eastAsiaTheme="minorEastAsia"/>
          <w:lang w:val="en-NZ" w:eastAsia="zh-CN"/>
        </w:rPr>
        <w:t xml:space="preserve"> </w:t>
      </w:r>
      <w:r w:rsidRPr="009562D1">
        <w:rPr>
          <w:rFonts w:eastAsiaTheme="minorEastAsia"/>
          <w:lang w:val="en-NZ" w:eastAsia="zh-CN"/>
        </w:rPr>
        <w:t xml:space="preserve">AMRD </w:t>
      </w:r>
      <w:r w:rsidRPr="00FB285D">
        <w:rPr>
          <w:rFonts w:eastAsiaTheme="minorEastAsia"/>
          <w:lang w:val="en-NZ" w:eastAsia="zh-CN"/>
        </w:rPr>
        <w:t>should not cause harmful interference on the existing services within the frequency band and the adjacent bands</w:t>
      </w:r>
      <w:r w:rsidR="00BD48A0">
        <w:rPr>
          <w:rFonts w:eastAsiaTheme="minorEastAsia"/>
          <w:lang w:val="en-NZ" w:eastAsia="zh-CN"/>
        </w:rPr>
        <w:t xml:space="preserve">, </w:t>
      </w:r>
      <w:r w:rsidR="00BD48A0">
        <w:rPr>
          <w:rFonts w:eastAsiaTheme="minorEastAsia"/>
          <w:lang w:val="en-NZ" w:eastAsia="zh-CN"/>
        </w:rPr>
        <w:lastRenderedPageBreak/>
        <w:t>including harmonics</w:t>
      </w:r>
      <w:r w:rsidRPr="00FB285D">
        <w:rPr>
          <w:rFonts w:eastAsiaTheme="minorEastAsia"/>
          <w:lang w:val="en-NZ" w:eastAsia="zh-CN"/>
        </w:rPr>
        <w:t>.</w:t>
      </w:r>
      <w:r w:rsidRPr="009562D1">
        <w:rPr>
          <w:rFonts w:eastAsiaTheme="minorEastAsia"/>
          <w:lang w:val="en-NZ" w:eastAsia="zh-CN"/>
        </w:rPr>
        <w:t xml:space="preserve"> In this regard mitigation technique of interference such as limitation of output power of AMRD (to 1 watt as an example) should be considered</w:t>
      </w:r>
      <w:r w:rsidRPr="009562D1">
        <w:rPr>
          <w:rFonts w:eastAsiaTheme="minorEastAsia" w:hint="eastAsia"/>
          <w:lang w:val="en-NZ" w:eastAsia="zh-CN"/>
        </w:rPr>
        <w:t>;</w:t>
      </w:r>
    </w:p>
    <w:p w:rsidR="001974EF" w:rsidRDefault="001974EF" w:rsidP="001974EF">
      <w:pPr>
        <w:pStyle w:val="ListParagraph"/>
        <w:numPr>
          <w:ilvl w:val="0"/>
          <w:numId w:val="29"/>
        </w:numPr>
        <w:rPr>
          <w:rFonts w:eastAsiaTheme="minorEastAsia"/>
          <w:lang w:val="en-NZ" w:eastAsia="zh-CN"/>
        </w:rPr>
      </w:pPr>
      <w:r w:rsidRPr="009562D1">
        <w:rPr>
          <w:rFonts w:eastAsiaTheme="minorEastAsia"/>
          <w:lang w:val="en-NZ" w:eastAsia="zh-CN"/>
        </w:rPr>
        <w:t xml:space="preserve">any regulatory action of </w:t>
      </w:r>
      <w:r w:rsidR="00A77A41" w:rsidRPr="009562D1">
        <w:rPr>
          <w:rFonts w:eastAsiaTheme="minorEastAsia"/>
          <w:lang w:val="en-NZ" w:eastAsia="zh-CN"/>
        </w:rPr>
        <w:t>Gr</w:t>
      </w:r>
      <w:r w:rsidR="00A77A41" w:rsidRPr="009562D1">
        <w:rPr>
          <w:rFonts w:eastAsiaTheme="minorEastAsia" w:hint="eastAsia"/>
          <w:lang w:val="en-NZ" w:eastAsia="zh-CN"/>
        </w:rPr>
        <w:t>o</w:t>
      </w:r>
      <w:r w:rsidR="00A77A41" w:rsidRPr="009562D1">
        <w:rPr>
          <w:rFonts w:eastAsiaTheme="minorEastAsia"/>
          <w:lang w:val="en-NZ" w:eastAsia="zh-CN"/>
        </w:rPr>
        <w:t xml:space="preserve">up B </w:t>
      </w:r>
      <w:r w:rsidRPr="009562D1">
        <w:rPr>
          <w:rFonts w:eastAsiaTheme="minorEastAsia"/>
          <w:lang w:val="en-NZ" w:eastAsia="zh-CN"/>
        </w:rPr>
        <w:t>AMRD should consider the limited numbering resources of MMSI and also the implementation transition period when the operation of autonomous maritime radio devices bring in to use</w:t>
      </w:r>
      <w:r w:rsidRPr="009562D1">
        <w:rPr>
          <w:rFonts w:eastAsiaTheme="minorEastAsia" w:hint="eastAsia"/>
          <w:lang w:val="en-NZ" w:eastAsia="zh-CN"/>
        </w:rPr>
        <w:t>;</w:t>
      </w:r>
    </w:p>
    <w:p w:rsidR="00BD48A0" w:rsidRDefault="00BD48A0" w:rsidP="001974EF">
      <w:pPr>
        <w:pStyle w:val="ListParagraph"/>
        <w:numPr>
          <w:ilvl w:val="0"/>
          <w:numId w:val="29"/>
        </w:numPr>
        <w:rPr>
          <w:rFonts w:eastAsiaTheme="minorEastAsia"/>
          <w:lang w:val="en-NZ" w:eastAsia="zh-CN"/>
        </w:rPr>
      </w:pPr>
      <w:r w:rsidRPr="009A59D6">
        <w:rPr>
          <w:rFonts w:eastAsia="MS Mincho"/>
          <w:szCs w:val="20"/>
          <w:lang w:val="en-GB"/>
        </w:rPr>
        <w:t xml:space="preserve">Sharing and compatibility studies between AMRD in the mobile service and other existing services, including land mobile service, would be required to ensure compatibility with incumbent services if AMRD were to use frequencies not listed in RR Appendix </w:t>
      </w:r>
      <w:r w:rsidRPr="009A59D6">
        <w:rPr>
          <w:rFonts w:eastAsia="MS Mincho"/>
          <w:b/>
          <w:bCs/>
          <w:szCs w:val="20"/>
          <w:lang w:val="en-GB"/>
        </w:rPr>
        <w:t>18</w:t>
      </w:r>
      <w:r w:rsidRPr="009A59D6">
        <w:rPr>
          <w:rFonts w:eastAsia="MS Mincho"/>
          <w:szCs w:val="20"/>
          <w:lang w:val="en-GB"/>
        </w:rPr>
        <w:t>.</w:t>
      </w:r>
    </w:p>
    <w:p w:rsidR="002A0111" w:rsidRPr="00441526" w:rsidRDefault="001974EF" w:rsidP="001974EF">
      <w:pPr>
        <w:rPr>
          <w:lang w:val="en-NZ"/>
        </w:rPr>
      </w:pPr>
      <w:r w:rsidRPr="009562D1">
        <w:rPr>
          <w:rFonts w:eastAsiaTheme="minorEastAsia"/>
          <w:lang w:val="en-NZ" w:eastAsia="zh-CN"/>
        </w:rPr>
        <w:t>Search and rescue aircraft system operating in maritime frequencies must be protected</w:t>
      </w:r>
      <w:r w:rsidRPr="009562D1">
        <w:rPr>
          <w:rFonts w:eastAsiaTheme="minorEastAsia" w:hint="eastAsia"/>
          <w:lang w:val="en-NZ" w:eastAsia="zh-CN"/>
        </w:rPr>
        <w:t>.</w:t>
      </w:r>
    </w:p>
    <w:p w:rsidR="002A0111" w:rsidRPr="00441526" w:rsidRDefault="002A0111" w:rsidP="002A0111">
      <w:pPr>
        <w:rPr>
          <w:lang w:val="en-NZ"/>
        </w:rPr>
      </w:pPr>
    </w:p>
    <w:p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rsidR="002F6B16" w:rsidRDefault="000B4BE8" w:rsidP="002A0111">
      <w:pPr>
        <w:rPr>
          <w:rFonts w:eastAsiaTheme="minorEastAsia"/>
          <w:lang w:val="en-NZ" w:eastAsia="zh-CN"/>
        </w:rPr>
      </w:pPr>
      <w:r w:rsidDel="000B4BE8">
        <w:rPr>
          <w:rFonts w:eastAsiaTheme="minorEastAsia"/>
          <w:lang w:val="en-NZ" w:eastAsia="zh-CN"/>
        </w:rPr>
        <w:t xml:space="preserve"> </w:t>
      </w:r>
      <w:r w:rsidR="002F6B16">
        <w:rPr>
          <w:rFonts w:eastAsiaTheme="minorEastAsia"/>
          <w:lang w:val="en-NZ" w:eastAsia="zh-CN"/>
        </w:rPr>
        <w:t xml:space="preserve">Some APT Members oppose </w:t>
      </w:r>
      <w:r w:rsidR="00626BC5" w:rsidRPr="00B80A54">
        <w:t xml:space="preserve">to use channels 2078, 2019 and 2079 as listed in RR Appendix </w:t>
      </w:r>
      <w:r w:rsidR="00626BC5" w:rsidRPr="00B80A54">
        <w:rPr>
          <w:b/>
          <w:bCs/>
        </w:rPr>
        <w:t>18</w:t>
      </w:r>
      <w:r w:rsidR="00626BC5" w:rsidRPr="00B80A54">
        <w:t xml:space="preserve"> </w:t>
      </w:r>
      <w:r w:rsidR="00626BC5">
        <w:t xml:space="preserve">and </w:t>
      </w:r>
      <w:r w:rsidR="00626BC5" w:rsidRPr="00B80A54">
        <w:t xml:space="preserve">the frequency band 161.4375 – 161.4875 MHz, which is not part of RR Appendix </w:t>
      </w:r>
      <w:r w:rsidR="00626BC5" w:rsidRPr="00B80A54">
        <w:rPr>
          <w:b/>
        </w:rPr>
        <w:t>18</w:t>
      </w:r>
      <w:r w:rsidR="00626BC5" w:rsidRPr="00B80A54">
        <w:t xml:space="preserve">, for </w:t>
      </w:r>
      <w:r w:rsidR="007D2B03">
        <w:t xml:space="preserve">Group B AMRD using </w:t>
      </w:r>
      <w:r w:rsidR="00626BC5" w:rsidRPr="00B80A54">
        <w:t>non-AIS technology</w:t>
      </w:r>
      <w:r w:rsidR="007D2B03">
        <w:t>.</w:t>
      </w:r>
    </w:p>
    <w:p w:rsidR="00EC744B" w:rsidRDefault="000B4BE8" w:rsidP="002A0111">
      <w:pPr>
        <w:rPr>
          <w:rFonts w:eastAsiaTheme="minorEastAsia"/>
          <w:lang w:val="en-NZ" w:eastAsia="zh-CN"/>
        </w:rPr>
      </w:pPr>
      <w:r w:rsidDel="000B4BE8">
        <w:rPr>
          <w:rFonts w:eastAsiaTheme="minorEastAsia" w:hint="eastAsia"/>
          <w:lang w:val="en-NZ" w:eastAsia="zh-CN"/>
        </w:rPr>
        <w:t xml:space="preserve"> </w:t>
      </w:r>
      <w:r w:rsidR="007D2B03">
        <w:rPr>
          <w:rFonts w:eastAsiaTheme="minorEastAsia"/>
          <w:lang w:val="en-NZ" w:eastAsia="zh-CN"/>
        </w:rPr>
        <w:t>Some APT Members support to use channels 2078, 2019 and 2079 as listed in RR Appendix 18 for Group B AMRD using non-AIS technology.</w:t>
      </w:r>
    </w:p>
    <w:p w:rsidR="00214F4D" w:rsidRPr="001F4AAC" w:rsidRDefault="00214F4D" w:rsidP="00A32284">
      <w:pPr>
        <w:pStyle w:val="ListParagraph"/>
        <w:ind w:left="0"/>
        <w:rPr>
          <w:rFonts w:eastAsiaTheme="minorEastAsia"/>
          <w:lang w:val="en-NZ" w:eastAsia="zh-CN"/>
        </w:rPr>
      </w:pPr>
      <w:r>
        <w:rPr>
          <w:rFonts w:eastAsiaTheme="minorEastAsia" w:hint="eastAsia"/>
          <w:lang w:val="en-NZ" w:eastAsia="zh-CN"/>
        </w:rPr>
        <w:t>S</w:t>
      </w:r>
      <w:r>
        <w:rPr>
          <w:rFonts w:eastAsiaTheme="minorEastAsia"/>
          <w:lang w:val="en-NZ" w:eastAsia="zh-CN"/>
        </w:rPr>
        <w:t>ome APT Members are of the view that regulatory actions and technical standards in relation to AMRD should take into account the application status and management needs of AMRD for different administrations</w:t>
      </w:r>
      <w:r w:rsidR="00A32284">
        <w:rPr>
          <w:rFonts w:eastAsiaTheme="minorEastAsia"/>
          <w:lang w:val="en-NZ" w:eastAsia="zh-CN"/>
        </w:rPr>
        <w:t>.</w:t>
      </w:r>
    </w:p>
    <w:p w:rsidR="001F4AAC" w:rsidRPr="00441526" w:rsidRDefault="001F4AAC" w:rsidP="002A0111">
      <w:pPr>
        <w:rPr>
          <w:lang w:val="en-NZ"/>
        </w:rPr>
      </w:pPr>
    </w:p>
    <w:p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rsidR="002A0111" w:rsidRPr="00441526" w:rsidRDefault="001F4AAC" w:rsidP="00FC300D">
      <w:pPr>
        <w:jc w:val="both"/>
        <w:rPr>
          <w:lang w:val="en-NZ"/>
        </w:rPr>
      </w:pPr>
      <w:r>
        <w:rPr>
          <w:rFonts w:eastAsiaTheme="minorEastAsia" w:hint="eastAsia"/>
          <w:lang w:eastAsia="zh-CN"/>
        </w:rPr>
        <w:t xml:space="preserve">APT </w:t>
      </w:r>
      <w:r w:rsidRPr="000D08F1">
        <w:rPr>
          <w:rFonts w:eastAsiaTheme="minorEastAsia"/>
          <w:lang w:eastAsia="zh-CN"/>
        </w:rPr>
        <w:t>M</w:t>
      </w:r>
      <w:r w:rsidRPr="000D08F1">
        <w:rPr>
          <w:rFonts w:eastAsiaTheme="minorEastAsia" w:hint="eastAsia"/>
          <w:lang w:eastAsia="zh-CN"/>
        </w:rPr>
        <w:t xml:space="preserve">embers </w:t>
      </w:r>
      <w:r>
        <w:rPr>
          <w:rFonts w:eastAsiaTheme="minorEastAsia" w:hint="eastAsia"/>
          <w:lang w:eastAsia="zh-CN"/>
        </w:rPr>
        <w:t xml:space="preserve">are encouraged to contribute </w:t>
      </w:r>
      <w:r w:rsidR="005D69C3">
        <w:rPr>
          <w:rFonts w:eastAsiaTheme="minorEastAsia"/>
          <w:lang w:eastAsia="zh-CN"/>
        </w:rPr>
        <w:t xml:space="preserve">their views, including the preferred methods, </w:t>
      </w:r>
      <w:r>
        <w:rPr>
          <w:rFonts w:eastAsiaTheme="minorEastAsia" w:hint="eastAsia"/>
          <w:lang w:eastAsia="zh-CN"/>
        </w:rPr>
        <w:t>to</w:t>
      </w:r>
      <w:r w:rsidRPr="000D08F1">
        <w:rPr>
          <w:rFonts w:eastAsiaTheme="minorEastAsia"/>
          <w:lang w:eastAsia="zh-CN"/>
        </w:rPr>
        <w:t xml:space="preserve"> the next APG meeting</w:t>
      </w:r>
      <w:r>
        <w:rPr>
          <w:rFonts w:eastAsiaTheme="minorEastAsia" w:hint="eastAsia"/>
          <w:lang w:eastAsia="zh-CN"/>
        </w:rPr>
        <w:t xml:space="preserve">, </w:t>
      </w:r>
      <w:r w:rsidRPr="008217BC">
        <w:rPr>
          <w:lang w:eastAsia="ko-KR"/>
        </w:rPr>
        <w:t xml:space="preserve">taking into account the </w:t>
      </w:r>
      <w:r>
        <w:rPr>
          <w:rFonts w:eastAsiaTheme="minorEastAsia" w:hint="eastAsia"/>
          <w:lang w:eastAsia="zh-CN"/>
        </w:rPr>
        <w:t>stud</w:t>
      </w:r>
      <w:r w:rsidR="005D69C3">
        <w:rPr>
          <w:rFonts w:eastAsiaTheme="minorEastAsia"/>
          <w:lang w:eastAsia="zh-CN"/>
        </w:rPr>
        <w:t xml:space="preserve">y results </w:t>
      </w:r>
      <w:r w:rsidRPr="008217BC">
        <w:rPr>
          <w:lang w:eastAsia="ko-KR"/>
        </w:rPr>
        <w:t>of ITU-R WP5B</w:t>
      </w:r>
      <w:r>
        <w:rPr>
          <w:lang w:eastAsia="ko-KR"/>
        </w:rPr>
        <w:t xml:space="preserve"> and CPM 19-2</w:t>
      </w:r>
      <w:r w:rsidR="005D69C3">
        <w:rPr>
          <w:rFonts w:eastAsiaTheme="minorEastAsia"/>
          <w:lang w:eastAsia="zh-CN"/>
        </w:rPr>
        <w:t xml:space="preserve"> to develop the draft PACP on WRC-19 agenda item 1.9.1</w:t>
      </w:r>
      <w:r w:rsidRPr="000D08F1">
        <w:rPr>
          <w:rFonts w:eastAsiaTheme="minorEastAsia"/>
          <w:lang w:eastAsia="zh-CN"/>
        </w:rPr>
        <w:t>.</w:t>
      </w:r>
    </w:p>
    <w:p w:rsidR="002A0111" w:rsidRPr="00441526" w:rsidRDefault="002A0111" w:rsidP="003D3D47">
      <w:pPr>
        <w:jc w:val="both"/>
        <w:rPr>
          <w:lang w:val="en-NZ"/>
        </w:rPr>
      </w:pPr>
    </w:p>
    <w:p w:rsidR="002A0111" w:rsidRPr="00441526" w:rsidRDefault="002A0111" w:rsidP="003D3D47">
      <w:pPr>
        <w:jc w:val="both"/>
        <w:rPr>
          <w:lang w:val="en-NZ"/>
        </w:rPr>
      </w:pPr>
      <w:r>
        <w:rPr>
          <w:b/>
          <w:lang w:val="en-NZ"/>
        </w:rPr>
        <w:t>7</w:t>
      </w:r>
      <w:r w:rsidRPr="00441526">
        <w:rPr>
          <w:b/>
          <w:lang w:val="en-NZ"/>
        </w:rPr>
        <w:t xml:space="preserve">. </w:t>
      </w:r>
      <w:r w:rsidRPr="00441526">
        <w:rPr>
          <w:b/>
          <w:lang w:val="en-NZ"/>
        </w:rPr>
        <w:tab/>
        <w:t>Views from Other Organisations</w:t>
      </w: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rsidR="00FC300D" w:rsidRPr="00BB3350" w:rsidRDefault="00FC300D" w:rsidP="00FC300D">
      <w:pPr>
        <w:spacing w:beforeLines="50" w:before="120" w:after="120"/>
        <w:jc w:val="both"/>
        <w:rPr>
          <w:b/>
          <w:lang w:val="en-NZ" w:eastAsia="ko-KR"/>
        </w:rPr>
      </w:pPr>
      <w:r w:rsidRPr="00BB3350">
        <w:rPr>
          <w:b/>
          <w:lang w:val="en-NZ" w:eastAsia="ko-KR"/>
        </w:rPr>
        <w:t>7.1.1</w:t>
      </w:r>
      <w:r w:rsidRPr="00BB3350">
        <w:rPr>
          <w:b/>
          <w:lang w:val="en-NZ" w:eastAsia="ko-KR"/>
        </w:rPr>
        <w:tab/>
      </w:r>
      <w:r w:rsidRPr="00BB3350">
        <w:rPr>
          <w:rFonts w:hint="eastAsia"/>
          <w:b/>
          <w:lang w:val="en-NZ" w:eastAsia="ko-KR"/>
        </w:rPr>
        <w:t>CEPT</w:t>
      </w:r>
      <w:r w:rsidRPr="00BB3350">
        <w:rPr>
          <w:b/>
          <w:lang w:val="en-NZ" w:eastAsia="ko-KR"/>
        </w:rPr>
        <w:t xml:space="preserve"> - APG19-</w:t>
      </w:r>
      <w:r>
        <w:rPr>
          <w:b/>
          <w:lang w:val="en-NZ" w:eastAsia="ko-KR"/>
        </w:rPr>
        <w:t>4</w:t>
      </w:r>
      <w:r w:rsidRPr="00BB3350">
        <w:rPr>
          <w:b/>
          <w:lang w:val="en-NZ" w:eastAsia="ko-KR"/>
        </w:rPr>
        <w:t>/INF-</w:t>
      </w:r>
      <w:r>
        <w:rPr>
          <w:b/>
          <w:lang w:val="en-NZ" w:eastAsia="ko-KR"/>
        </w:rPr>
        <w:t>23</w:t>
      </w:r>
    </w:p>
    <w:p w:rsidR="00FC300D" w:rsidRPr="009C25E5" w:rsidRDefault="00FC300D" w:rsidP="00FC300D">
      <w:pPr>
        <w:spacing w:after="120"/>
        <w:jc w:val="both"/>
        <w:rPr>
          <w:rFonts w:eastAsiaTheme="minorEastAsia"/>
          <w:lang w:eastAsia="zh-CN"/>
        </w:rPr>
      </w:pPr>
      <w:r w:rsidRPr="009C25E5">
        <w:rPr>
          <w:rFonts w:eastAsiaTheme="minorEastAsia"/>
          <w:lang w:eastAsia="zh-CN"/>
        </w:rPr>
        <w:t>CEPT is of the view that the operation of autonomous maritime radio devices needs to be harmonized and regulated.</w:t>
      </w:r>
    </w:p>
    <w:p w:rsidR="00FC300D" w:rsidRPr="009C25E5" w:rsidRDefault="00FC300D" w:rsidP="00FC300D">
      <w:pPr>
        <w:spacing w:after="120"/>
        <w:jc w:val="both"/>
        <w:rPr>
          <w:rFonts w:eastAsiaTheme="minorEastAsia"/>
          <w:lang w:eastAsia="zh-CN"/>
        </w:rPr>
      </w:pPr>
      <w:r w:rsidRPr="009C25E5">
        <w:rPr>
          <w:rFonts w:eastAsiaTheme="minorEastAsia"/>
          <w:lang w:eastAsia="zh-CN"/>
        </w:rPr>
        <w:t>CEPT is of the view that the operation of autonomous maritime radio devices shall not reduce the integrity of AIS and of GMDSS.</w:t>
      </w:r>
    </w:p>
    <w:p w:rsidR="00FC300D" w:rsidRDefault="00FC300D" w:rsidP="00FC300D">
      <w:pPr>
        <w:spacing w:after="120"/>
        <w:jc w:val="both"/>
        <w:rPr>
          <w:rFonts w:eastAsiaTheme="minorEastAsia"/>
          <w:lang w:eastAsia="zh-CN"/>
        </w:rPr>
      </w:pPr>
      <w:r w:rsidRPr="009C25E5">
        <w:rPr>
          <w:rFonts w:eastAsiaTheme="minorEastAsia"/>
          <w:lang w:eastAsia="zh-CN"/>
        </w:rPr>
        <w:t xml:space="preserve">CEPT supports the identification of spectrum for autonomous maritime radio devices within the frequency band 156-162.05 </w:t>
      </w:r>
      <w:proofErr w:type="spellStart"/>
      <w:r w:rsidRPr="009C25E5">
        <w:rPr>
          <w:rFonts w:eastAsiaTheme="minorEastAsia"/>
          <w:lang w:eastAsia="zh-CN"/>
        </w:rPr>
        <w:t>MHz.</w:t>
      </w:r>
      <w:proofErr w:type="spellEnd"/>
    </w:p>
    <w:p w:rsidR="00FC300D" w:rsidRDefault="00FC300D" w:rsidP="00FC300D">
      <w:pPr>
        <w:spacing w:after="120"/>
        <w:jc w:val="both"/>
        <w:rPr>
          <w:rFonts w:eastAsiaTheme="minorEastAsia"/>
          <w:lang w:eastAsia="zh-CN"/>
        </w:rPr>
      </w:pPr>
      <w:r>
        <w:rPr>
          <w:rFonts w:eastAsiaTheme="minorEastAsia" w:hint="eastAsia"/>
          <w:lang w:eastAsia="zh-CN"/>
        </w:rPr>
        <w:t>C</w:t>
      </w:r>
      <w:r>
        <w:rPr>
          <w:rFonts w:eastAsiaTheme="minorEastAsia"/>
          <w:lang w:eastAsia="zh-CN"/>
        </w:rPr>
        <w:t>EPT is of the view that the AMRD of Group B shall operate in the bands of RR Appendix 18. In connection with this, CEPT does not support Method B3 to satisfy Agenda item 1.9.1 of WRC-19.</w:t>
      </w:r>
    </w:p>
    <w:p w:rsidR="00FC300D" w:rsidRPr="009C25E5" w:rsidRDefault="00FC300D" w:rsidP="00FC300D">
      <w:pPr>
        <w:spacing w:after="120"/>
        <w:jc w:val="both"/>
        <w:rPr>
          <w:rFonts w:eastAsiaTheme="minorEastAsia"/>
          <w:lang w:eastAsia="zh-CN"/>
        </w:rPr>
      </w:pPr>
      <w:r>
        <w:rPr>
          <w:rFonts w:eastAsiaTheme="minorEastAsia" w:hint="eastAsia"/>
          <w:lang w:eastAsia="zh-CN"/>
        </w:rPr>
        <w:t>C</w:t>
      </w:r>
      <w:r>
        <w:rPr>
          <w:rFonts w:eastAsiaTheme="minorEastAsia"/>
          <w:lang w:eastAsia="zh-CN"/>
        </w:rPr>
        <w:t>EPT is of the view that the power of the AMRD transmitters of Group B shall be limited to a value that ensures their compatibility with radio systems operating in accordance with the existing frequency distribution.</w:t>
      </w:r>
    </w:p>
    <w:p w:rsidR="00FC300D" w:rsidRPr="009C25E5" w:rsidRDefault="00FC300D" w:rsidP="00FC300D">
      <w:pPr>
        <w:spacing w:beforeLines="50" w:before="120" w:after="120"/>
        <w:jc w:val="both"/>
        <w:rPr>
          <w:b/>
          <w:lang w:val="en-NZ" w:eastAsia="ko-KR"/>
        </w:rPr>
      </w:pPr>
      <w:r w:rsidRPr="00BB3350">
        <w:rPr>
          <w:b/>
          <w:lang w:val="en-NZ" w:eastAsia="ko-KR"/>
        </w:rPr>
        <w:t>7.1.</w:t>
      </w:r>
      <w:r>
        <w:rPr>
          <w:b/>
          <w:lang w:val="en-NZ" w:eastAsia="ko-KR"/>
        </w:rPr>
        <w:t>2</w:t>
      </w:r>
      <w:r w:rsidRPr="00BB3350">
        <w:rPr>
          <w:b/>
          <w:lang w:val="en-NZ" w:eastAsia="ko-KR"/>
        </w:rPr>
        <w:tab/>
      </w:r>
      <w:r w:rsidRPr="009C25E5">
        <w:rPr>
          <w:rFonts w:hint="eastAsia"/>
          <w:b/>
          <w:lang w:val="en-NZ" w:eastAsia="ko-KR"/>
        </w:rPr>
        <w:t xml:space="preserve">CITEL </w:t>
      </w:r>
      <w:r>
        <w:rPr>
          <w:b/>
          <w:lang w:val="en-NZ" w:eastAsia="ko-KR"/>
        </w:rPr>
        <w:t xml:space="preserve">- </w:t>
      </w:r>
      <w:r w:rsidRPr="009C25E5">
        <w:rPr>
          <w:b/>
          <w:lang w:val="en-NZ" w:eastAsia="ko-KR"/>
        </w:rPr>
        <w:t>APG19-</w:t>
      </w:r>
      <w:r w:rsidR="00C1287E">
        <w:rPr>
          <w:b/>
          <w:lang w:val="en-NZ" w:eastAsia="ko-KR"/>
        </w:rPr>
        <w:t>4</w:t>
      </w:r>
      <w:r w:rsidRPr="009C25E5">
        <w:rPr>
          <w:b/>
          <w:lang w:val="en-NZ" w:eastAsia="ko-KR"/>
        </w:rPr>
        <w:t>/INF-</w:t>
      </w:r>
      <w:r>
        <w:rPr>
          <w:b/>
          <w:lang w:val="en-NZ" w:eastAsia="ko-KR"/>
        </w:rPr>
        <w:t>22</w:t>
      </w:r>
    </w:p>
    <w:p w:rsidR="008329AE" w:rsidRDefault="008329AE" w:rsidP="00FC300D">
      <w:r>
        <w:t>DIAP for Group A based on the single CPM Method; Proposals for Group B are based on Method B1 with 160.900 MHz identified.</w:t>
      </w:r>
    </w:p>
    <w:p w:rsidR="00FC300D" w:rsidRPr="009C25E5" w:rsidRDefault="00FC300D" w:rsidP="00FC300D">
      <w:pPr>
        <w:spacing w:beforeLines="50" w:before="120" w:after="120"/>
        <w:jc w:val="both"/>
        <w:rPr>
          <w:b/>
          <w:lang w:val="en-NZ" w:eastAsia="ko-KR"/>
        </w:rPr>
      </w:pPr>
      <w:r w:rsidRPr="00BB3350">
        <w:rPr>
          <w:b/>
          <w:lang w:val="en-NZ" w:eastAsia="ko-KR"/>
        </w:rPr>
        <w:t>7.1.</w:t>
      </w:r>
      <w:r>
        <w:rPr>
          <w:b/>
          <w:lang w:val="en-NZ" w:eastAsia="ko-KR"/>
        </w:rPr>
        <w:t>3</w:t>
      </w:r>
      <w:r w:rsidRPr="00BB3350">
        <w:rPr>
          <w:b/>
          <w:lang w:val="en-NZ" w:eastAsia="ko-KR"/>
        </w:rPr>
        <w:tab/>
      </w:r>
      <w:r>
        <w:rPr>
          <w:b/>
          <w:lang w:val="en-NZ" w:eastAsia="ko-KR"/>
        </w:rPr>
        <w:t>RCC</w:t>
      </w:r>
      <w:r w:rsidRPr="009C25E5">
        <w:rPr>
          <w:rFonts w:hint="eastAsia"/>
          <w:b/>
          <w:lang w:val="en-NZ" w:eastAsia="ko-KR"/>
        </w:rPr>
        <w:t xml:space="preserve"> </w:t>
      </w:r>
      <w:r>
        <w:rPr>
          <w:b/>
          <w:lang w:val="en-NZ" w:eastAsia="ko-KR"/>
        </w:rPr>
        <w:t xml:space="preserve">- </w:t>
      </w:r>
      <w:r w:rsidRPr="00B30967">
        <w:rPr>
          <w:b/>
          <w:lang w:val="en-NZ" w:eastAsia="ko-KR"/>
        </w:rPr>
        <w:t>APG19-</w:t>
      </w:r>
      <w:r w:rsidR="00C1287E">
        <w:rPr>
          <w:b/>
          <w:lang w:val="en-NZ" w:eastAsia="ko-KR"/>
        </w:rPr>
        <w:t>4</w:t>
      </w:r>
      <w:r w:rsidRPr="00B30967">
        <w:rPr>
          <w:b/>
          <w:lang w:val="en-NZ" w:eastAsia="ko-KR"/>
        </w:rPr>
        <w:t>/INF-</w:t>
      </w:r>
      <w:r w:rsidR="00C1287E">
        <w:rPr>
          <w:b/>
          <w:lang w:val="en-NZ" w:eastAsia="ko-KR"/>
        </w:rPr>
        <w:t>24</w:t>
      </w:r>
    </w:p>
    <w:p w:rsidR="00FC300D" w:rsidRDefault="00FC300D" w:rsidP="00FC300D">
      <w:pPr>
        <w:rPr>
          <w:rFonts w:eastAsiaTheme="minorEastAsia"/>
          <w:lang w:eastAsia="zh-CN"/>
        </w:rPr>
      </w:pPr>
      <w:r w:rsidRPr="007C419E">
        <w:rPr>
          <w:rFonts w:eastAsiaTheme="minorEastAsia"/>
          <w:lang w:eastAsia="zh-CN"/>
        </w:rPr>
        <w:lastRenderedPageBreak/>
        <w:t>The RCC Administrations consider it reasonable to identify categories (types), technical and operational characteristics of autonomous maritime radio devices in order to develop regulatory actions in the frequency band 156−162.05 MHz for the autonomous maritime radio devices to protect GMDSS and AIS.</w:t>
      </w:r>
      <w:r w:rsidR="008329AE">
        <w:rPr>
          <w:rFonts w:eastAsiaTheme="minorEastAsia"/>
          <w:lang w:eastAsia="zh-CN"/>
        </w:rPr>
        <w:t xml:space="preserve"> At the same time, results of studies on the compatibility between autonomous maritime radio devices and existing radio systems having allocations in the concerned frequency bands shall be taken into account.</w:t>
      </w:r>
    </w:p>
    <w:p w:rsidR="008329AE" w:rsidRDefault="008329AE" w:rsidP="00FC300D">
      <w:pPr>
        <w:rPr>
          <w:rFonts w:eastAsiaTheme="minorEastAsia" w:cs="Angsana New"/>
          <w:bCs/>
          <w:lang w:val="en-NZ" w:eastAsia="zh-CN"/>
        </w:rPr>
      </w:pPr>
      <w:r>
        <w:rPr>
          <w:rFonts w:eastAsiaTheme="minorEastAsia" w:hint="eastAsia"/>
          <w:lang w:eastAsia="zh-CN"/>
        </w:rPr>
        <w:t>T</w:t>
      </w:r>
      <w:r>
        <w:rPr>
          <w:rFonts w:eastAsiaTheme="minorEastAsia"/>
          <w:lang w:eastAsia="zh-CN"/>
        </w:rPr>
        <w:t xml:space="preserve">he RCC Administrations </w:t>
      </w:r>
      <w:r>
        <w:rPr>
          <w:rFonts w:eastAsiaTheme="minorEastAsia" w:cs="Angsana New"/>
          <w:bCs/>
          <w:lang w:val="en-NZ" w:eastAsia="zh-CN"/>
        </w:rPr>
        <w:t>do not oppose using frequency bands of RR Appendix 18 for Group A autonomous maritime radio devices intended for maritime safety (frequency bands: 156.5125-156.5375 (channel 70 for DSC), 161.9625-161.9875 MHz (AIS 1 channel), 162.0125-162.0375 MHz (AIS 2 channel)). Such use should comply with the latest version of Recommendation ITU-R M</w:t>
      </w:r>
      <w:proofErr w:type="gramStart"/>
      <w:r>
        <w:rPr>
          <w:rFonts w:eastAsiaTheme="minorEastAsia" w:cs="Angsana New"/>
          <w:bCs/>
          <w:lang w:val="en-NZ" w:eastAsia="zh-CN"/>
        </w:rPr>
        <w:t>.[</w:t>
      </w:r>
      <w:proofErr w:type="gramEnd"/>
      <w:r>
        <w:rPr>
          <w:rFonts w:eastAsiaTheme="minorEastAsia" w:cs="Angsana New"/>
          <w:bCs/>
          <w:lang w:val="en-NZ" w:eastAsia="zh-CN"/>
        </w:rPr>
        <w:t>AMRD] (Method A).</w:t>
      </w:r>
    </w:p>
    <w:p w:rsidR="008329AE" w:rsidRPr="008A14DA" w:rsidRDefault="008329AE" w:rsidP="00FC300D">
      <w:pPr>
        <w:rPr>
          <w:rFonts w:eastAsiaTheme="minorEastAsia"/>
          <w:lang w:eastAsia="zh-CN"/>
        </w:rPr>
      </w:pPr>
      <w:r>
        <w:rPr>
          <w:rFonts w:eastAsiaTheme="minorEastAsia" w:cs="Angsana New"/>
          <w:bCs/>
          <w:lang w:val="en-NZ" w:eastAsia="zh-CN"/>
        </w:rPr>
        <w:t>The RCC Administrations do not oppose using frequency bands of RR Appendix 18 for Group B autonomous maritime radio devices not intended for maritime safety (frequency band 160.8875-160.9125 (channel 2006)). Such use should comply with the latest version of Recommendation ITU-R M</w:t>
      </w:r>
      <w:proofErr w:type="gramStart"/>
      <w:r>
        <w:rPr>
          <w:rFonts w:eastAsiaTheme="minorEastAsia" w:cs="Angsana New"/>
          <w:bCs/>
          <w:lang w:val="en-NZ" w:eastAsia="zh-CN"/>
        </w:rPr>
        <w:t>.[</w:t>
      </w:r>
      <w:proofErr w:type="gramEnd"/>
      <w:r>
        <w:rPr>
          <w:rFonts w:eastAsiaTheme="minorEastAsia" w:cs="Angsana New"/>
          <w:bCs/>
          <w:lang w:val="en-NZ" w:eastAsia="zh-CN"/>
        </w:rPr>
        <w:t>AMRD] (Method B1)</w:t>
      </w:r>
      <w:r>
        <w:rPr>
          <w:rFonts w:eastAsiaTheme="minorEastAsia" w:cs="Angsana New" w:hint="eastAsia"/>
          <w:bCs/>
          <w:lang w:val="en-NZ" w:eastAsia="zh-CN"/>
        </w:rPr>
        <w:t>.</w:t>
      </w:r>
    </w:p>
    <w:p w:rsidR="002A0111" w:rsidRDefault="008329AE" w:rsidP="002A0111">
      <w:pPr>
        <w:rPr>
          <w:rFonts w:eastAsiaTheme="minorEastAsia" w:cs="Angsana New"/>
          <w:bCs/>
          <w:lang w:val="en-NZ" w:eastAsia="zh-CN"/>
        </w:rPr>
      </w:pPr>
      <w:r>
        <w:rPr>
          <w:rFonts w:eastAsiaTheme="minorEastAsia" w:cs="Angsana New"/>
          <w:bCs/>
          <w:lang w:val="en-NZ" w:eastAsia="zh-CN"/>
        </w:rPr>
        <w:t xml:space="preserve">The RCC Administrations do not oppose using frequency bands of RR Appendix 18 for Group B autonomous maritime radio devices not intended for maritime safety (frequency bands 161.5125-161.5375 MHz (channel 2078), 161.5375-161.5625 MHz </w:t>
      </w:r>
      <w:r>
        <w:rPr>
          <w:rFonts w:eastAsiaTheme="minorEastAsia" w:cs="Angsana New" w:hint="eastAsia"/>
          <w:bCs/>
          <w:lang w:val="en-NZ" w:eastAsia="zh-CN"/>
        </w:rPr>
        <w:t>(</w:t>
      </w:r>
      <w:r>
        <w:rPr>
          <w:rFonts w:eastAsiaTheme="minorEastAsia" w:cs="Angsana New"/>
          <w:bCs/>
          <w:lang w:val="en-NZ" w:eastAsia="zh-CN"/>
        </w:rPr>
        <w:t>Channel 2078), 161.5625-161.5875 MHz (Channel 2079) for technologies other than AIS). Such use should comply with the latest version of Recommendation ITU-R M</w:t>
      </w:r>
      <w:proofErr w:type="gramStart"/>
      <w:r>
        <w:rPr>
          <w:rFonts w:eastAsiaTheme="minorEastAsia" w:cs="Angsana New"/>
          <w:bCs/>
          <w:lang w:val="en-NZ" w:eastAsia="zh-CN"/>
        </w:rPr>
        <w:t>.[</w:t>
      </w:r>
      <w:proofErr w:type="gramEnd"/>
      <w:r>
        <w:rPr>
          <w:rFonts w:eastAsiaTheme="minorEastAsia" w:cs="Angsana New"/>
          <w:bCs/>
          <w:lang w:val="en-NZ" w:eastAsia="zh-CN"/>
        </w:rPr>
        <w:t>AMRD] (Method B2).</w:t>
      </w:r>
    </w:p>
    <w:p w:rsidR="00CF31BD" w:rsidRDefault="00CF31BD" w:rsidP="002A0111">
      <w:pPr>
        <w:rPr>
          <w:lang w:val="en-NZ"/>
        </w:rPr>
      </w:pPr>
    </w:p>
    <w:p w:rsidR="00CF31BD" w:rsidRDefault="00CF31BD" w:rsidP="00626A0E">
      <w:pPr>
        <w:spacing w:afterLines="100" w:after="240"/>
        <w:rPr>
          <w:b/>
          <w:lang w:val="en-NZ" w:eastAsia="ko-KR"/>
        </w:rPr>
      </w:pPr>
      <w:r w:rsidRPr="00BB3350">
        <w:rPr>
          <w:b/>
          <w:lang w:val="en-NZ" w:eastAsia="ko-KR"/>
        </w:rPr>
        <w:t>7.1.</w:t>
      </w:r>
      <w:r>
        <w:rPr>
          <w:b/>
          <w:lang w:val="en-NZ" w:eastAsia="ko-KR"/>
        </w:rPr>
        <w:t>4</w:t>
      </w:r>
      <w:r w:rsidRPr="00BB3350">
        <w:rPr>
          <w:b/>
          <w:lang w:val="en-NZ" w:eastAsia="ko-KR"/>
        </w:rPr>
        <w:tab/>
      </w:r>
      <w:r>
        <w:rPr>
          <w:b/>
          <w:lang w:val="en-NZ" w:eastAsia="ko-KR"/>
        </w:rPr>
        <w:t>ATU</w:t>
      </w:r>
      <w:r w:rsidR="00F33A78" w:rsidRPr="005C5361">
        <w:rPr>
          <w:rFonts w:eastAsiaTheme="minorEastAsia"/>
          <w:b/>
          <w:lang w:val="en-NZ" w:eastAsia="zh-CN"/>
        </w:rPr>
        <w:t xml:space="preserve"> – </w:t>
      </w:r>
      <w:r w:rsidRPr="00B30967">
        <w:rPr>
          <w:b/>
          <w:lang w:val="en-NZ" w:eastAsia="ko-KR"/>
        </w:rPr>
        <w:t>APG19-</w:t>
      </w:r>
      <w:r>
        <w:rPr>
          <w:b/>
          <w:lang w:val="en-NZ" w:eastAsia="ko-KR"/>
        </w:rPr>
        <w:t>4</w:t>
      </w:r>
      <w:r w:rsidRPr="00B30967">
        <w:rPr>
          <w:b/>
          <w:lang w:val="en-NZ" w:eastAsia="ko-KR"/>
        </w:rPr>
        <w:t>/IN</w:t>
      </w:r>
      <w:r>
        <w:rPr>
          <w:b/>
          <w:lang w:val="en-NZ" w:eastAsia="ko-KR"/>
        </w:rPr>
        <w:t>P-9</w:t>
      </w:r>
      <w:r w:rsidR="00526855">
        <w:rPr>
          <w:b/>
          <w:lang w:val="en-NZ" w:eastAsia="ko-KR"/>
        </w:rPr>
        <w:t xml:space="preserve"> (Rev.1)</w:t>
      </w:r>
    </w:p>
    <w:p w:rsidR="00764945" w:rsidRPr="00626A0E" w:rsidRDefault="00764945" w:rsidP="002A0111">
      <w:pPr>
        <w:rPr>
          <w:rFonts w:eastAsiaTheme="minorEastAsia"/>
          <w:b/>
          <w:lang w:val="en-NZ" w:eastAsia="zh-CN"/>
        </w:rPr>
      </w:pPr>
      <w:r>
        <w:rPr>
          <w:rFonts w:eastAsiaTheme="minorEastAsia" w:hint="eastAsia"/>
          <w:b/>
          <w:lang w:val="en-NZ" w:eastAsia="zh-CN"/>
        </w:rPr>
        <w:t>N</w:t>
      </w:r>
      <w:r>
        <w:rPr>
          <w:rFonts w:eastAsiaTheme="minorEastAsia"/>
          <w:b/>
          <w:lang w:val="en-NZ" w:eastAsia="zh-CN"/>
        </w:rPr>
        <w:t>o contribution covering this Agenda item.</w:t>
      </w:r>
    </w:p>
    <w:p w:rsidR="005C5361" w:rsidRDefault="005C5361" w:rsidP="002A0111">
      <w:pPr>
        <w:rPr>
          <w:b/>
          <w:lang w:val="en-NZ" w:eastAsia="ko-KR"/>
        </w:rPr>
      </w:pPr>
    </w:p>
    <w:p w:rsidR="00CF31BD" w:rsidRDefault="00CF31BD" w:rsidP="00626A0E">
      <w:pPr>
        <w:spacing w:afterLines="100" w:after="240"/>
        <w:rPr>
          <w:rFonts w:eastAsiaTheme="minorEastAsia"/>
          <w:b/>
          <w:lang w:val="en-NZ" w:eastAsia="zh-CN"/>
        </w:rPr>
      </w:pPr>
      <w:r w:rsidRPr="005C5361">
        <w:rPr>
          <w:rFonts w:eastAsiaTheme="minorEastAsia"/>
          <w:b/>
          <w:lang w:val="en-NZ" w:eastAsia="zh-CN"/>
        </w:rPr>
        <w:t>7.1.5</w:t>
      </w:r>
      <w:r w:rsidRPr="005C5361">
        <w:rPr>
          <w:rFonts w:eastAsiaTheme="minorEastAsia"/>
          <w:b/>
          <w:lang w:val="en-NZ" w:eastAsia="zh-CN"/>
        </w:rPr>
        <w:tab/>
        <w:t>ASMG – APG19-4/INP-</w:t>
      </w:r>
      <w:r w:rsidR="00FC6303">
        <w:rPr>
          <w:rFonts w:eastAsiaTheme="minorEastAsia"/>
          <w:b/>
          <w:lang w:val="en-NZ" w:eastAsia="zh-CN"/>
        </w:rPr>
        <w:t>9</w:t>
      </w:r>
      <w:r w:rsidR="00526855">
        <w:rPr>
          <w:rFonts w:eastAsiaTheme="minorEastAsia"/>
          <w:b/>
          <w:lang w:val="en-NZ" w:eastAsia="zh-CN"/>
        </w:rPr>
        <w:t xml:space="preserve"> (Rev.1)</w:t>
      </w:r>
    </w:p>
    <w:p w:rsidR="00764945" w:rsidRPr="005C5361" w:rsidRDefault="00764945" w:rsidP="002A0111">
      <w:pPr>
        <w:rPr>
          <w:rFonts w:eastAsiaTheme="minorEastAsia"/>
          <w:b/>
          <w:lang w:val="en-NZ" w:eastAsia="zh-CN"/>
        </w:rPr>
      </w:pPr>
      <w:r>
        <w:rPr>
          <w:rFonts w:eastAsiaTheme="minorEastAsia" w:hint="eastAsia"/>
          <w:b/>
          <w:lang w:val="en-NZ" w:eastAsia="zh-CN"/>
        </w:rPr>
        <w:t>N</w:t>
      </w:r>
      <w:r>
        <w:rPr>
          <w:rFonts w:eastAsiaTheme="minorEastAsia"/>
          <w:b/>
          <w:lang w:val="en-NZ" w:eastAsia="zh-CN"/>
        </w:rPr>
        <w:t>o contribution covering this Agenda item</w:t>
      </w:r>
    </w:p>
    <w:p w:rsidR="002A0111" w:rsidRPr="00441526" w:rsidRDefault="002A0111" w:rsidP="002A0111">
      <w:pPr>
        <w:rPr>
          <w:lang w:val="en-NZ"/>
        </w:rPr>
      </w:pP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ICAO </w:t>
      </w:r>
      <w:r w:rsidR="002A0111" w:rsidRPr="00441526">
        <w:t xml:space="preserve">- </w:t>
      </w:r>
      <w:r w:rsidR="002A0111" w:rsidRPr="00441526">
        <w:rPr>
          <w:b/>
          <w:lang w:val="en-NZ" w:eastAsia="ko-KR"/>
        </w:rPr>
        <w:t>APG19-</w:t>
      </w:r>
      <w:r w:rsidR="008D1DDE">
        <w:rPr>
          <w:b/>
          <w:lang w:val="en-NZ" w:eastAsia="ko-KR"/>
        </w:rPr>
        <w:t>4</w:t>
      </w:r>
      <w:r w:rsidR="002A0111" w:rsidRPr="00441526">
        <w:rPr>
          <w:b/>
          <w:lang w:val="en-NZ" w:eastAsia="ko-KR"/>
        </w:rPr>
        <w:t>/INF-</w:t>
      </w:r>
      <w:r w:rsidR="008D1DDE">
        <w:rPr>
          <w:b/>
          <w:lang w:val="en-NZ" w:eastAsia="ko-KR"/>
        </w:rPr>
        <w:t>04</w:t>
      </w:r>
    </w:p>
    <w:p w:rsidR="002A0111" w:rsidRDefault="00234CBD" w:rsidP="002A0111">
      <w:r>
        <w:rPr>
          <w:lang w:val="en-NZ"/>
        </w:rPr>
        <w:t xml:space="preserve">To </w:t>
      </w:r>
      <w:r>
        <w:t>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rsidR="00764945" w:rsidRDefault="00764945" w:rsidP="002A0111">
      <w:pPr>
        <w:rPr>
          <w:b/>
          <w:lang w:val="en-NZ"/>
        </w:rPr>
      </w:pPr>
    </w:p>
    <w:p w:rsidR="00764945" w:rsidRDefault="004509D2" w:rsidP="002A0111">
      <w:pPr>
        <w:rPr>
          <w:rFonts w:eastAsiaTheme="minorEastAsia"/>
          <w:b/>
          <w:lang w:val="en-NZ" w:eastAsia="zh-CN"/>
        </w:rPr>
      </w:pPr>
      <w:r>
        <w:rPr>
          <w:rFonts w:eastAsiaTheme="minorEastAsia" w:hint="eastAsia"/>
          <w:b/>
          <w:lang w:val="en-NZ" w:eastAsia="zh-CN"/>
        </w:rPr>
        <w:t>7</w:t>
      </w:r>
      <w:r>
        <w:rPr>
          <w:rFonts w:eastAsiaTheme="minorEastAsia"/>
          <w:b/>
          <w:lang w:val="en-NZ" w:eastAsia="zh-CN"/>
        </w:rPr>
        <w:t>.2.2</w:t>
      </w:r>
      <w:r>
        <w:rPr>
          <w:rFonts w:eastAsiaTheme="minorEastAsia"/>
          <w:b/>
          <w:lang w:val="en-NZ" w:eastAsia="zh-CN"/>
        </w:rPr>
        <w:tab/>
        <w:t>WMO</w:t>
      </w:r>
    </w:p>
    <w:p w:rsidR="004509D2" w:rsidRDefault="004509D2" w:rsidP="002A0111">
      <w:pPr>
        <w:rPr>
          <w:rFonts w:eastAsiaTheme="minorEastAsia"/>
          <w:b/>
          <w:lang w:val="en-NZ" w:eastAsia="zh-CN"/>
        </w:rPr>
      </w:pPr>
    </w:p>
    <w:p w:rsidR="004509D2" w:rsidRDefault="004509D2" w:rsidP="002A0111">
      <w:pPr>
        <w:rPr>
          <w:rFonts w:eastAsiaTheme="minorEastAsia"/>
          <w:b/>
          <w:lang w:val="en-NZ" w:eastAsia="zh-CN"/>
        </w:rPr>
      </w:pPr>
      <w:r>
        <w:rPr>
          <w:rFonts w:eastAsiaTheme="minorEastAsia" w:hint="eastAsia"/>
          <w:b/>
          <w:lang w:val="en-NZ" w:eastAsia="zh-CN"/>
        </w:rPr>
        <w:t>N</w:t>
      </w:r>
      <w:r>
        <w:rPr>
          <w:rFonts w:eastAsiaTheme="minorEastAsia"/>
          <w:b/>
          <w:lang w:val="en-NZ" w:eastAsia="zh-CN"/>
        </w:rPr>
        <w:t>o contribution covering this Agenda it</w:t>
      </w:r>
      <w:r w:rsidR="00F52B61">
        <w:rPr>
          <w:rFonts w:eastAsiaTheme="minorEastAsia"/>
          <w:b/>
          <w:lang w:val="en-NZ" w:eastAsia="zh-CN"/>
        </w:rPr>
        <w:t>em</w:t>
      </w:r>
    </w:p>
    <w:p w:rsidR="004509D2" w:rsidRDefault="004509D2" w:rsidP="002A0111">
      <w:pPr>
        <w:rPr>
          <w:rFonts w:eastAsiaTheme="minorEastAsia"/>
          <w:b/>
          <w:lang w:val="en-NZ" w:eastAsia="zh-CN"/>
        </w:rPr>
      </w:pPr>
    </w:p>
    <w:p w:rsidR="004509D2" w:rsidRDefault="004509D2" w:rsidP="002A0111">
      <w:pPr>
        <w:rPr>
          <w:rFonts w:eastAsiaTheme="minorEastAsia"/>
          <w:b/>
          <w:lang w:val="en-NZ" w:eastAsia="zh-CN"/>
        </w:rPr>
      </w:pPr>
      <w:r>
        <w:rPr>
          <w:rFonts w:eastAsiaTheme="minorEastAsia" w:hint="eastAsia"/>
          <w:b/>
          <w:lang w:val="en-NZ" w:eastAsia="zh-CN"/>
        </w:rPr>
        <w:t>7</w:t>
      </w:r>
      <w:r>
        <w:rPr>
          <w:rFonts w:eastAsiaTheme="minorEastAsia"/>
          <w:b/>
          <w:lang w:val="en-NZ" w:eastAsia="zh-CN"/>
        </w:rPr>
        <w:t>.2.3</w:t>
      </w:r>
      <w:r>
        <w:rPr>
          <w:rFonts w:eastAsiaTheme="minorEastAsia"/>
          <w:b/>
          <w:lang w:val="en-NZ" w:eastAsia="zh-CN"/>
        </w:rPr>
        <w:tab/>
        <w:t>IARU</w:t>
      </w:r>
    </w:p>
    <w:p w:rsidR="004509D2" w:rsidRDefault="004509D2" w:rsidP="002A0111">
      <w:pPr>
        <w:rPr>
          <w:rFonts w:eastAsiaTheme="minorEastAsia"/>
          <w:b/>
          <w:lang w:val="en-NZ" w:eastAsia="zh-CN"/>
        </w:rPr>
      </w:pPr>
    </w:p>
    <w:p w:rsidR="004509D2" w:rsidRPr="00626A0E" w:rsidRDefault="004509D2" w:rsidP="002A0111">
      <w:pPr>
        <w:rPr>
          <w:rFonts w:eastAsiaTheme="minorEastAsia"/>
          <w:b/>
          <w:lang w:val="en-NZ" w:eastAsia="zh-CN"/>
        </w:rPr>
      </w:pPr>
      <w:r>
        <w:rPr>
          <w:rFonts w:eastAsiaTheme="minorEastAsia" w:hint="eastAsia"/>
          <w:b/>
          <w:lang w:val="en-NZ" w:eastAsia="zh-CN"/>
        </w:rPr>
        <w:t>N</w:t>
      </w:r>
      <w:r>
        <w:rPr>
          <w:rFonts w:eastAsiaTheme="minorEastAsia"/>
          <w:b/>
          <w:lang w:val="en-NZ" w:eastAsia="zh-CN"/>
        </w:rPr>
        <w:t>o contribution covering this Agenda item</w:t>
      </w:r>
      <w:r w:rsidR="0033099F">
        <w:rPr>
          <w:rFonts w:eastAsiaTheme="minorEastAsia"/>
          <w:b/>
          <w:lang w:val="en-NZ" w:eastAsia="zh-CN"/>
        </w:rPr>
        <w:t>s</w:t>
      </w:r>
    </w:p>
    <w:p w:rsidR="001F4AAC" w:rsidRDefault="001F4AAC" w:rsidP="002A0111">
      <w:pPr>
        <w:jc w:val="center"/>
        <w:rPr>
          <w:lang w:val="en-NZ"/>
        </w:rPr>
      </w:pPr>
    </w:p>
    <w:p w:rsidR="001F4AAC" w:rsidRDefault="001F4AAC" w:rsidP="002A0111">
      <w:pPr>
        <w:jc w:val="center"/>
        <w:rPr>
          <w:lang w:val="en-NZ"/>
        </w:rPr>
      </w:pPr>
    </w:p>
    <w:p w:rsidR="001F4AAC" w:rsidRDefault="001F4AAC" w:rsidP="002A0111">
      <w:pPr>
        <w:jc w:val="center"/>
        <w:rPr>
          <w:lang w:val="en-NZ"/>
        </w:rPr>
      </w:pPr>
    </w:p>
    <w:p w:rsidR="002A0111" w:rsidRDefault="002A0111" w:rsidP="002A0111">
      <w:pPr>
        <w:jc w:val="center"/>
        <w:rPr>
          <w:lang w:val="en-NZ"/>
        </w:rPr>
      </w:pPr>
      <w:r w:rsidRPr="00441526">
        <w:rPr>
          <w:lang w:val="en-NZ"/>
        </w:rPr>
        <w:t>____________</w:t>
      </w:r>
    </w:p>
    <w:p w:rsidR="00654896" w:rsidRPr="002A0111" w:rsidRDefault="00654896" w:rsidP="002A0111">
      <w:pPr>
        <w:tabs>
          <w:tab w:val="left" w:pos="1410"/>
        </w:tabs>
        <w:rPr>
          <w:lang w:val="en-NZ"/>
        </w:rPr>
      </w:pPr>
    </w:p>
    <w:sectPr w:rsidR="00654896" w:rsidRPr="002A0111" w:rsidSect="00C516C7">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57" w:rsidRDefault="00365A57">
      <w:r>
        <w:separator/>
      </w:r>
    </w:p>
  </w:endnote>
  <w:endnote w:type="continuationSeparator" w:id="0">
    <w:p w:rsidR="00365A57" w:rsidRDefault="0036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PG19-4</w:t>
    </w:r>
    <w:r w:rsidR="006B1FE5">
      <w:rPr>
        <w:lang w:eastAsia="ko-KR"/>
      </w:rPr>
      <w:t>/OUT-08</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1619DB">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1619DB">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76" w:type="dxa"/>
      <w:tblInd w:w="4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84"/>
      <w:gridCol w:w="4897"/>
      <w:gridCol w:w="3095"/>
    </w:tblGrid>
    <w:tr w:rsidR="001619DB" w:rsidRPr="00370DA4" w:rsidTr="00214505">
      <w:trPr>
        <w:trHeight w:val="461"/>
      </w:trPr>
      <w:tc>
        <w:tcPr>
          <w:tcW w:w="1284" w:type="dxa"/>
          <w:tcBorders>
            <w:top w:val="single" w:sz="8" w:space="0" w:color="auto"/>
            <w:bottom w:val="nil"/>
            <w:right w:val="nil"/>
          </w:tcBorders>
        </w:tcPr>
        <w:p w:rsidR="001619DB" w:rsidRDefault="001619DB" w:rsidP="001619DB">
          <w:pPr>
            <w:pStyle w:val="Footer"/>
            <w:tabs>
              <w:tab w:val="clear" w:pos="4320"/>
              <w:tab w:val="clear" w:pos="8640"/>
            </w:tabs>
            <w:rPr>
              <w:sz w:val="16"/>
              <w:szCs w:val="16"/>
            </w:rPr>
          </w:pPr>
          <w:r>
            <w:rPr>
              <w:b/>
              <w:bCs/>
            </w:rPr>
            <w:t>Contact:</w:t>
          </w:r>
        </w:p>
      </w:tc>
      <w:tc>
        <w:tcPr>
          <w:tcW w:w="4897" w:type="dxa"/>
          <w:tcBorders>
            <w:top w:val="single" w:sz="8" w:space="0" w:color="auto"/>
            <w:left w:val="nil"/>
            <w:bottom w:val="nil"/>
            <w:right w:val="nil"/>
          </w:tcBorders>
        </w:tcPr>
        <w:p w:rsidR="001619DB" w:rsidRDefault="001619DB" w:rsidP="001619DB">
          <w:pPr>
            <w:pStyle w:val="Footer"/>
            <w:tabs>
              <w:tab w:val="clear" w:pos="4320"/>
              <w:tab w:val="clear" w:pos="8640"/>
            </w:tabs>
          </w:pPr>
          <w:r>
            <w:rPr>
              <w:lang w:eastAsia="ko-KR"/>
            </w:rPr>
            <w:t>MR. BUI HA LONG</w:t>
          </w:r>
        </w:p>
        <w:p w:rsidR="001619DB" w:rsidRPr="002A0111" w:rsidRDefault="001619DB" w:rsidP="001619DB">
          <w:pPr>
            <w:pStyle w:val="Footer"/>
            <w:tabs>
              <w:tab w:val="clear" w:pos="4320"/>
              <w:tab w:val="clear" w:pos="8640"/>
            </w:tabs>
          </w:pPr>
          <w:r>
            <w:t>Chairman, WP 5</w:t>
          </w:r>
        </w:p>
      </w:tc>
      <w:tc>
        <w:tcPr>
          <w:tcW w:w="3095" w:type="dxa"/>
          <w:tcBorders>
            <w:top w:val="single" w:sz="8" w:space="0" w:color="auto"/>
            <w:left w:val="nil"/>
            <w:bottom w:val="nil"/>
          </w:tcBorders>
        </w:tcPr>
        <w:p w:rsidR="001619DB" w:rsidRPr="00370DA4" w:rsidRDefault="001619DB" w:rsidP="001619DB">
          <w:pPr>
            <w:pStyle w:val="Footer"/>
            <w:tabs>
              <w:tab w:val="clear" w:pos="4320"/>
              <w:tab w:val="clear" w:pos="8640"/>
            </w:tabs>
            <w:rPr>
              <w:lang w:val="fr-FR"/>
            </w:rPr>
          </w:pPr>
          <w:r w:rsidRPr="00370DA4">
            <w:rPr>
              <w:lang w:val="fr-FR"/>
            </w:rPr>
            <w:t>E-mail: longbh@rfd.gov.vn</w:t>
          </w:r>
        </w:p>
      </w:tc>
    </w:tr>
  </w:tbl>
  <w:p w:rsidR="0097693B" w:rsidRDefault="0097693B" w:rsidP="0092727B">
    <w:pPr>
      <w:pStyle w:val="Footer"/>
      <w:tabs>
        <w:tab w:val="clear" w:pos="4320"/>
        <w:tab w:val="clear" w:pos="8640"/>
      </w:tabs>
      <w:rPr>
        <w:sz w:val="16"/>
        <w:szCs w:val="16"/>
      </w:rPr>
    </w:pPr>
    <w:bookmarkStart w:id="3" w:name="_GoBack"/>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57" w:rsidRDefault="00365A57">
      <w:r>
        <w:separator/>
      </w:r>
    </w:p>
  </w:footnote>
  <w:footnote w:type="continuationSeparator" w:id="0">
    <w:p w:rsidR="00365A57" w:rsidRDefault="0036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DB" w:rsidRDefault="00161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F72"/>
    <w:multiLevelType w:val="multilevel"/>
    <w:tmpl w:val="F9EC6B90"/>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0C90101"/>
    <w:multiLevelType w:val="hybridMultilevel"/>
    <w:tmpl w:val="C19854F6"/>
    <w:lvl w:ilvl="0" w:tplc="6A10470A">
      <w:numFmt w:val="bullet"/>
      <w:lvlText w:val="-"/>
      <w:lvlJc w:val="left"/>
      <w:pPr>
        <w:ind w:left="0" w:firstLine="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42E90"/>
    <w:multiLevelType w:val="hybridMultilevel"/>
    <w:tmpl w:val="06788CFA"/>
    <w:lvl w:ilvl="0" w:tplc="6DFCF1DE">
      <w:start w:val="2"/>
      <w:numFmt w:val="bullet"/>
      <w:lvlText w:val="-"/>
      <w:lvlJc w:val="left"/>
      <w:pPr>
        <w:ind w:left="360" w:hanging="360"/>
      </w:pPr>
      <w:rPr>
        <w:rFonts w:ascii="Times New Roman" w:eastAsia="BatangChe"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5440AD"/>
    <w:multiLevelType w:val="hybridMultilevel"/>
    <w:tmpl w:val="059C83A6"/>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221C5"/>
    <w:multiLevelType w:val="hybridMultilevel"/>
    <w:tmpl w:val="97BA65DA"/>
    <w:lvl w:ilvl="0" w:tplc="6DFCF1DE">
      <w:start w:val="2"/>
      <w:numFmt w:val="bullet"/>
      <w:lvlText w:val="-"/>
      <w:lvlJc w:val="left"/>
      <w:pPr>
        <w:ind w:left="420" w:hanging="42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7073C46"/>
    <w:multiLevelType w:val="hybridMultilevel"/>
    <w:tmpl w:val="BC2C80FC"/>
    <w:lvl w:ilvl="0" w:tplc="A114EBFA">
      <w:start w:val="1"/>
      <w:numFmt w:val="bullet"/>
      <w:lvlText w:val="-"/>
      <w:lvlJc w:val="left"/>
      <w:pPr>
        <w:ind w:left="360" w:hanging="360"/>
      </w:pPr>
      <w:rPr>
        <w:rFonts w:ascii="Malgun Gothic" w:eastAsia="Malgun Gothic" w:hAnsi="Malgun Gothic" w:cstheme="minorBidi" w:hint="eastAsia"/>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8D96BE9"/>
    <w:multiLevelType w:val="hybridMultilevel"/>
    <w:tmpl w:val="21122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7"/>
  </w:num>
  <w:num w:numId="3">
    <w:abstractNumId w:val="6"/>
  </w:num>
  <w:num w:numId="4">
    <w:abstractNumId w:val="22"/>
  </w:num>
  <w:num w:numId="5">
    <w:abstractNumId w:val="11"/>
  </w:num>
  <w:num w:numId="6">
    <w:abstractNumId w:val="13"/>
  </w:num>
  <w:num w:numId="7">
    <w:abstractNumId w:val="3"/>
  </w:num>
  <w:num w:numId="8">
    <w:abstractNumId w:val="2"/>
  </w:num>
  <w:num w:numId="9">
    <w:abstractNumId w:val="26"/>
  </w:num>
  <w:num w:numId="10">
    <w:abstractNumId w:val="19"/>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7"/>
  </w:num>
  <w:num w:numId="17">
    <w:abstractNumId w:val="18"/>
  </w:num>
  <w:num w:numId="18">
    <w:abstractNumId w:val="15"/>
  </w:num>
  <w:num w:numId="19">
    <w:abstractNumId w:val="24"/>
  </w:num>
  <w:num w:numId="20">
    <w:abstractNumId w:val="10"/>
  </w:num>
  <w:num w:numId="21">
    <w:abstractNumId w:val="23"/>
  </w:num>
  <w:num w:numId="22">
    <w:abstractNumId w:val="28"/>
  </w:num>
  <w:num w:numId="23">
    <w:abstractNumId w:val="20"/>
  </w:num>
  <w:num w:numId="24">
    <w:abstractNumId w:val="0"/>
  </w:num>
  <w:num w:numId="25">
    <w:abstractNumId w:val="25"/>
  </w:num>
  <w:num w:numId="26">
    <w:abstractNumId w:val="16"/>
  </w:num>
  <w:num w:numId="27">
    <w:abstractNumId w:val="14"/>
  </w:num>
  <w:num w:numId="28">
    <w:abstractNumId w:val="21"/>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2077"/>
    <w:rsid w:val="00012E8F"/>
    <w:rsid w:val="0003595B"/>
    <w:rsid w:val="00036517"/>
    <w:rsid w:val="00036CC9"/>
    <w:rsid w:val="00037829"/>
    <w:rsid w:val="00040149"/>
    <w:rsid w:val="00047C67"/>
    <w:rsid w:val="00070642"/>
    <w:rsid w:val="000713CF"/>
    <w:rsid w:val="00075319"/>
    <w:rsid w:val="00075C14"/>
    <w:rsid w:val="000822B5"/>
    <w:rsid w:val="00085437"/>
    <w:rsid w:val="00094B87"/>
    <w:rsid w:val="000A012B"/>
    <w:rsid w:val="000A5418"/>
    <w:rsid w:val="000B30FE"/>
    <w:rsid w:val="000B4BE8"/>
    <w:rsid w:val="000D47FB"/>
    <w:rsid w:val="000F345F"/>
    <w:rsid w:val="000F517C"/>
    <w:rsid w:val="000F5540"/>
    <w:rsid w:val="00105F1A"/>
    <w:rsid w:val="0012472B"/>
    <w:rsid w:val="00125FBD"/>
    <w:rsid w:val="001409B2"/>
    <w:rsid w:val="00152636"/>
    <w:rsid w:val="001539DD"/>
    <w:rsid w:val="00156782"/>
    <w:rsid w:val="001619DB"/>
    <w:rsid w:val="00164CB2"/>
    <w:rsid w:val="00165F01"/>
    <w:rsid w:val="00166794"/>
    <w:rsid w:val="0017245D"/>
    <w:rsid w:val="001731F4"/>
    <w:rsid w:val="001866FF"/>
    <w:rsid w:val="001916F2"/>
    <w:rsid w:val="001930A7"/>
    <w:rsid w:val="00193ED0"/>
    <w:rsid w:val="00196568"/>
    <w:rsid w:val="001971E9"/>
    <w:rsid w:val="001974EF"/>
    <w:rsid w:val="00197C18"/>
    <w:rsid w:val="00197D69"/>
    <w:rsid w:val="001A2F16"/>
    <w:rsid w:val="001B1804"/>
    <w:rsid w:val="001B18C2"/>
    <w:rsid w:val="001B3688"/>
    <w:rsid w:val="001C120D"/>
    <w:rsid w:val="001C1F70"/>
    <w:rsid w:val="001C443F"/>
    <w:rsid w:val="001C61A5"/>
    <w:rsid w:val="001C6707"/>
    <w:rsid w:val="001D12E0"/>
    <w:rsid w:val="001D5D7E"/>
    <w:rsid w:val="001F4294"/>
    <w:rsid w:val="001F4AAC"/>
    <w:rsid w:val="001F5947"/>
    <w:rsid w:val="00202410"/>
    <w:rsid w:val="00214A0C"/>
    <w:rsid w:val="00214F4D"/>
    <w:rsid w:val="0021588B"/>
    <w:rsid w:val="002161B6"/>
    <w:rsid w:val="002216AC"/>
    <w:rsid w:val="0023212E"/>
    <w:rsid w:val="00234A2C"/>
    <w:rsid w:val="00234CBD"/>
    <w:rsid w:val="002475E2"/>
    <w:rsid w:val="002506D2"/>
    <w:rsid w:val="00250DE2"/>
    <w:rsid w:val="00254A1B"/>
    <w:rsid w:val="0026064A"/>
    <w:rsid w:val="00264566"/>
    <w:rsid w:val="0028454D"/>
    <w:rsid w:val="00291C9E"/>
    <w:rsid w:val="002926D4"/>
    <w:rsid w:val="0029734E"/>
    <w:rsid w:val="002A0111"/>
    <w:rsid w:val="002A3CF5"/>
    <w:rsid w:val="002A72F5"/>
    <w:rsid w:val="002B06A3"/>
    <w:rsid w:val="002B435C"/>
    <w:rsid w:val="002B447F"/>
    <w:rsid w:val="002C07DA"/>
    <w:rsid w:val="002C2A49"/>
    <w:rsid w:val="002C7EA9"/>
    <w:rsid w:val="002D4BB8"/>
    <w:rsid w:val="002F575D"/>
    <w:rsid w:val="002F6B16"/>
    <w:rsid w:val="003072E1"/>
    <w:rsid w:val="003113D7"/>
    <w:rsid w:val="00311E8A"/>
    <w:rsid w:val="00311EF7"/>
    <w:rsid w:val="0033099F"/>
    <w:rsid w:val="00342F20"/>
    <w:rsid w:val="00360377"/>
    <w:rsid w:val="00365A57"/>
    <w:rsid w:val="00366548"/>
    <w:rsid w:val="003713DA"/>
    <w:rsid w:val="0038005B"/>
    <w:rsid w:val="003809C7"/>
    <w:rsid w:val="00380BE1"/>
    <w:rsid w:val="0038236C"/>
    <w:rsid w:val="00393DCD"/>
    <w:rsid w:val="00395B40"/>
    <w:rsid w:val="003A2006"/>
    <w:rsid w:val="003A5E1D"/>
    <w:rsid w:val="003A6568"/>
    <w:rsid w:val="003B3B53"/>
    <w:rsid w:val="003B4FD1"/>
    <w:rsid w:val="003B6263"/>
    <w:rsid w:val="003C29E6"/>
    <w:rsid w:val="003C64A7"/>
    <w:rsid w:val="003D1128"/>
    <w:rsid w:val="003D1671"/>
    <w:rsid w:val="003D3525"/>
    <w:rsid w:val="003D3D47"/>
    <w:rsid w:val="003D3FDA"/>
    <w:rsid w:val="003D6D00"/>
    <w:rsid w:val="003E0A62"/>
    <w:rsid w:val="003E166F"/>
    <w:rsid w:val="003F307E"/>
    <w:rsid w:val="004001E5"/>
    <w:rsid w:val="0041313C"/>
    <w:rsid w:val="00420822"/>
    <w:rsid w:val="00420C74"/>
    <w:rsid w:val="004351AA"/>
    <w:rsid w:val="004366DE"/>
    <w:rsid w:val="00441526"/>
    <w:rsid w:val="004465AA"/>
    <w:rsid w:val="00446A5E"/>
    <w:rsid w:val="00446C37"/>
    <w:rsid w:val="004509D2"/>
    <w:rsid w:val="0045458F"/>
    <w:rsid w:val="004600A0"/>
    <w:rsid w:val="004633B4"/>
    <w:rsid w:val="004721B6"/>
    <w:rsid w:val="00495CED"/>
    <w:rsid w:val="00496DFA"/>
    <w:rsid w:val="004A2F96"/>
    <w:rsid w:val="004A4BDF"/>
    <w:rsid w:val="004A5CEB"/>
    <w:rsid w:val="004B3553"/>
    <w:rsid w:val="004B3F4B"/>
    <w:rsid w:val="004E1FCA"/>
    <w:rsid w:val="004E47D6"/>
    <w:rsid w:val="00503189"/>
    <w:rsid w:val="00516BD1"/>
    <w:rsid w:val="005206E9"/>
    <w:rsid w:val="00526855"/>
    <w:rsid w:val="00526D01"/>
    <w:rsid w:val="00527F20"/>
    <w:rsid w:val="00530E8C"/>
    <w:rsid w:val="00535D34"/>
    <w:rsid w:val="00545933"/>
    <w:rsid w:val="00552105"/>
    <w:rsid w:val="005562F2"/>
    <w:rsid w:val="00557544"/>
    <w:rsid w:val="00557DA6"/>
    <w:rsid w:val="00565BBB"/>
    <w:rsid w:val="00585F3C"/>
    <w:rsid w:val="00586CA0"/>
    <w:rsid w:val="00587875"/>
    <w:rsid w:val="005A63EB"/>
    <w:rsid w:val="005B0876"/>
    <w:rsid w:val="005B1B7B"/>
    <w:rsid w:val="005C33B6"/>
    <w:rsid w:val="005C5361"/>
    <w:rsid w:val="005D6202"/>
    <w:rsid w:val="005D69C3"/>
    <w:rsid w:val="005D6E98"/>
    <w:rsid w:val="005E7B7E"/>
    <w:rsid w:val="00607E2B"/>
    <w:rsid w:val="006139D6"/>
    <w:rsid w:val="00616D1B"/>
    <w:rsid w:val="00623CE1"/>
    <w:rsid w:val="00626A0E"/>
    <w:rsid w:val="00626BC5"/>
    <w:rsid w:val="00627880"/>
    <w:rsid w:val="0063062B"/>
    <w:rsid w:val="00634A82"/>
    <w:rsid w:val="00636F8A"/>
    <w:rsid w:val="00637351"/>
    <w:rsid w:val="00646166"/>
    <w:rsid w:val="00654896"/>
    <w:rsid w:val="006621F0"/>
    <w:rsid w:val="006647BA"/>
    <w:rsid w:val="00667229"/>
    <w:rsid w:val="00682BE5"/>
    <w:rsid w:val="00683846"/>
    <w:rsid w:val="00690FED"/>
    <w:rsid w:val="006939A5"/>
    <w:rsid w:val="006B1FE5"/>
    <w:rsid w:val="006B7DE7"/>
    <w:rsid w:val="006D5223"/>
    <w:rsid w:val="006D5970"/>
    <w:rsid w:val="006D6A47"/>
    <w:rsid w:val="006E12FC"/>
    <w:rsid w:val="006F0AB1"/>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47EA8"/>
    <w:rsid w:val="0075493D"/>
    <w:rsid w:val="00762576"/>
    <w:rsid w:val="00764945"/>
    <w:rsid w:val="007673CA"/>
    <w:rsid w:val="007844E0"/>
    <w:rsid w:val="007877A7"/>
    <w:rsid w:val="00791060"/>
    <w:rsid w:val="007926EA"/>
    <w:rsid w:val="007B5626"/>
    <w:rsid w:val="007B6124"/>
    <w:rsid w:val="007C0AE6"/>
    <w:rsid w:val="007D2B03"/>
    <w:rsid w:val="007D3C53"/>
    <w:rsid w:val="007E3A0F"/>
    <w:rsid w:val="007F21A5"/>
    <w:rsid w:val="007F2628"/>
    <w:rsid w:val="007F2FBA"/>
    <w:rsid w:val="00800C3A"/>
    <w:rsid w:val="0080570B"/>
    <w:rsid w:val="008148E1"/>
    <w:rsid w:val="008319BF"/>
    <w:rsid w:val="008329AE"/>
    <w:rsid w:val="008415F0"/>
    <w:rsid w:val="008433C2"/>
    <w:rsid w:val="00843448"/>
    <w:rsid w:val="00844457"/>
    <w:rsid w:val="008454C8"/>
    <w:rsid w:val="00851D78"/>
    <w:rsid w:val="00851DD5"/>
    <w:rsid w:val="00867511"/>
    <w:rsid w:val="00881123"/>
    <w:rsid w:val="008A016F"/>
    <w:rsid w:val="008A1A0D"/>
    <w:rsid w:val="008A72E1"/>
    <w:rsid w:val="008A76ED"/>
    <w:rsid w:val="008B3C72"/>
    <w:rsid w:val="008C0250"/>
    <w:rsid w:val="008C5FED"/>
    <w:rsid w:val="008D0E09"/>
    <w:rsid w:val="008D1CDE"/>
    <w:rsid w:val="008D1DDE"/>
    <w:rsid w:val="008E3DFE"/>
    <w:rsid w:val="00903007"/>
    <w:rsid w:val="009110F4"/>
    <w:rsid w:val="00923816"/>
    <w:rsid w:val="0092727B"/>
    <w:rsid w:val="0093074B"/>
    <w:rsid w:val="00930E64"/>
    <w:rsid w:val="00943CF9"/>
    <w:rsid w:val="00956CAF"/>
    <w:rsid w:val="00956F8C"/>
    <w:rsid w:val="00961D57"/>
    <w:rsid w:val="0096291D"/>
    <w:rsid w:val="00976716"/>
    <w:rsid w:val="0097693B"/>
    <w:rsid w:val="00993355"/>
    <w:rsid w:val="009963F7"/>
    <w:rsid w:val="009A11CB"/>
    <w:rsid w:val="009A1954"/>
    <w:rsid w:val="009A4A6D"/>
    <w:rsid w:val="009B44DD"/>
    <w:rsid w:val="009B7E42"/>
    <w:rsid w:val="009C7235"/>
    <w:rsid w:val="009D46CE"/>
    <w:rsid w:val="009D4ADA"/>
    <w:rsid w:val="009E04AC"/>
    <w:rsid w:val="009E13DD"/>
    <w:rsid w:val="009F1BA2"/>
    <w:rsid w:val="009F44C9"/>
    <w:rsid w:val="009F547A"/>
    <w:rsid w:val="00A03D78"/>
    <w:rsid w:val="00A0503B"/>
    <w:rsid w:val="00A059CD"/>
    <w:rsid w:val="00A13265"/>
    <w:rsid w:val="00A14900"/>
    <w:rsid w:val="00A2159F"/>
    <w:rsid w:val="00A32284"/>
    <w:rsid w:val="00A322D8"/>
    <w:rsid w:val="00A324FF"/>
    <w:rsid w:val="00A529BC"/>
    <w:rsid w:val="00A5346C"/>
    <w:rsid w:val="00A53F51"/>
    <w:rsid w:val="00A562F0"/>
    <w:rsid w:val="00A564FB"/>
    <w:rsid w:val="00A614C1"/>
    <w:rsid w:val="00A61EA6"/>
    <w:rsid w:val="00A657BF"/>
    <w:rsid w:val="00A71136"/>
    <w:rsid w:val="00A77A41"/>
    <w:rsid w:val="00A84B4D"/>
    <w:rsid w:val="00A9012A"/>
    <w:rsid w:val="00A92578"/>
    <w:rsid w:val="00AA0EA5"/>
    <w:rsid w:val="00AA17F7"/>
    <w:rsid w:val="00AA474C"/>
    <w:rsid w:val="00AC35EF"/>
    <w:rsid w:val="00AC4D5B"/>
    <w:rsid w:val="00AC7530"/>
    <w:rsid w:val="00AD1DDB"/>
    <w:rsid w:val="00AD2697"/>
    <w:rsid w:val="00AD7E5F"/>
    <w:rsid w:val="00AE3066"/>
    <w:rsid w:val="00AF68E4"/>
    <w:rsid w:val="00B00A87"/>
    <w:rsid w:val="00B01AA1"/>
    <w:rsid w:val="00B06025"/>
    <w:rsid w:val="00B30C81"/>
    <w:rsid w:val="00B30DA1"/>
    <w:rsid w:val="00B4793B"/>
    <w:rsid w:val="00B56099"/>
    <w:rsid w:val="00B64A60"/>
    <w:rsid w:val="00B661AC"/>
    <w:rsid w:val="00B735DD"/>
    <w:rsid w:val="00B8468D"/>
    <w:rsid w:val="00B937D7"/>
    <w:rsid w:val="00B96B67"/>
    <w:rsid w:val="00BA310D"/>
    <w:rsid w:val="00BB0EA4"/>
    <w:rsid w:val="00BB124F"/>
    <w:rsid w:val="00BC57EF"/>
    <w:rsid w:val="00BC69DB"/>
    <w:rsid w:val="00BD48A0"/>
    <w:rsid w:val="00BE6B6B"/>
    <w:rsid w:val="00BF25F9"/>
    <w:rsid w:val="00C00B04"/>
    <w:rsid w:val="00C04A7B"/>
    <w:rsid w:val="00C12859"/>
    <w:rsid w:val="00C1287E"/>
    <w:rsid w:val="00C13E87"/>
    <w:rsid w:val="00C13FD5"/>
    <w:rsid w:val="00C15633"/>
    <w:rsid w:val="00C15799"/>
    <w:rsid w:val="00C32E84"/>
    <w:rsid w:val="00C35415"/>
    <w:rsid w:val="00C357AD"/>
    <w:rsid w:val="00C45AEA"/>
    <w:rsid w:val="00C516C7"/>
    <w:rsid w:val="00C51C5F"/>
    <w:rsid w:val="00C554CC"/>
    <w:rsid w:val="00C6069C"/>
    <w:rsid w:val="00C70477"/>
    <w:rsid w:val="00C74745"/>
    <w:rsid w:val="00C77955"/>
    <w:rsid w:val="00C85119"/>
    <w:rsid w:val="00C93088"/>
    <w:rsid w:val="00C95C48"/>
    <w:rsid w:val="00CA251B"/>
    <w:rsid w:val="00CA41E7"/>
    <w:rsid w:val="00CB3946"/>
    <w:rsid w:val="00CC5AB5"/>
    <w:rsid w:val="00CD170C"/>
    <w:rsid w:val="00CD320B"/>
    <w:rsid w:val="00CD3F37"/>
    <w:rsid w:val="00CD5431"/>
    <w:rsid w:val="00CE4B93"/>
    <w:rsid w:val="00CF2491"/>
    <w:rsid w:val="00CF31BD"/>
    <w:rsid w:val="00CF3963"/>
    <w:rsid w:val="00D1252E"/>
    <w:rsid w:val="00D13D9D"/>
    <w:rsid w:val="00D14AFE"/>
    <w:rsid w:val="00D24A0D"/>
    <w:rsid w:val="00D416A3"/>
    <w:rsid w:val="00D42A15"/>
    <w:rsid w:val="00D459A2"/>
    <w:rsid w:val="00D530FF"/>
    <w:rsid w:val="00D53688"/>
    <w:rsid w:val="00D5407A"/>
    <w:rsid w:val="00D56213"/>
    <w:rsid w:val="00D57772"/>
    <w:rsid w:val="00D71A67"/>
    <w:rsid w:val="00D72AE3"/>
    <w:rsid w:val="00D75A4D"/>
    <w:rsid w:val="00D77961"/>
    <w:rsid w:val="00D8478B"/>
    <w:rsid w:val="00D86151"/>
    <w:rsid w:val="00D9172D"/>
    <w:rsid w:val="00D92595"/>
    <w:rsid w:val="00D97E84"/>
    <w:rsid w:val="00DA5641"/>
    <w:rsid w:val="00DA7595"/>
    <w:rsid w:val="00DB0A68"/>
    <w:rsid w:val="00DB3E44"/>
    <w:rsid w:val="00DC43A3"/>
    <w:rsid w:val="00DC4CF3"/>
    <w:rsid w:val="00DC5C01"/>
    <w:rsid w:val="00DC6D88"/>
    <w:rsid w:val="00DD7C09"/>
    <w:rsid w:val="00DF0EB4"/>
    <w:rsid w:val="00DF111E"/>
    <w:rsid w:val="00E0124F"/>
    <w:rsid w:val="00E0674D"/>
    <w:rsid w:val="00E5762A"/>
    <w:rsid w:val="00E674D3"/>
    <w:rsid w:val="00E70FD0"/>
    <w:rsid w:val="00E72B2C"/>
    <w:rsid w:val="00E7309D"/>
    <w:rsid w:val="00E77C4B"/>
    <w:rsid w:val="00E9301F"/>
    <w:rsid w:val="00E9690A"/>
    <w:rsid w:val="00E97DC7"/>
    <w:rsid w:val="00EC2553"/>
    <w:rsid w:val="00EC744B"/>
    <w:rsid w:val="00ED0384"/>
    <w:rsid w:val="00EF7222"/>
    <w:rsid w:val="00F000EF"/>
    <w:rsid w:val="00F2504E"/>
    <w:rsid w:val="00F2585B"/>
    <w:rsid w:val="00F33A78"/>
    <w:rsid w:val="00F4053F"/>
    <w:rsid w:val="00F50283"/>
    <w:rsid w:val="00F516E7"/>
    <w:rsid w:val="00F52B61"/>
    <w:rsid w:val="00F57BF7"/>
    <w:rsid w:val="00F6263E"/>
    <w:rsid w:val="00F627C2"/>
    <w:rsid w:val="00F736FD"/>
    <w:rsid w:val="00F80B88"/>
    <w:rsid w:val="00F84067"/>
    <w:rsid w:val="00FA45F6"/>
    <w:rsid w:val="00FA50B4"/>
    <w:rsid w:val="00FB285D"/>
    <w:rsid w:val="00FB6E83"/>
    <w:rsid w:val="00FC156A"/>
    <w:rsid w:val="00FC300D"/>
    <w:rsid w:val="00FC6303"/>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C12859"/>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character" w:customStyle="1" w:styleId="ListParagraphChar">
    <w:name w:val="List Paragraph Char"/>
    <w:basedOn w:val="DefaultParagraphFont"/>
    <w:link w:val="ListParagraph"/>
    <w:uiPriority w:val="34"/>
    <w:locked/>
    <w:rsid w:val="00C12859"/>
    <w:rPr>
      <w:rFonts w:eastAsia="BatangChe"/>
      <w:sz w:val="24"/>
      <w:szCs w:val="24"/>
    </w:rPr>
  </w:style>
  <w:style w:type="character" w:customStyle="1" w:styleId="enumlev1Char">
    <w:name w:val="enumlev1 Char"/>
    <w:link w:val="enumlev1"/>
    <w:qFormat/>
    <w:locked/>
    <w:rsid w:val="001974EF"/>
    <w:rPr>
      <w:rFonts w:eastAsiaTheme="minorEastAsia"/>
      <w:sz w:val="24"/>
      <w:lang w:val="en-GB"/>
    </w:rPr>
  </w:style>
  <w:style w:type="character" w:customStyle="1" w:styleId="UnresolvedMention">
    <w:name w:val="Unresolved Mention"/>
    <w:basedOn w:val="DefaultParagraphFont"/>
    <w:uiPriority w:val="99"/>
    <w:semiHidden/>
    <w:unhideWhenUsed/>
    <w:rsid w:val="008329AE"/>
    <w:rPr>
      <w:color w:val="605E5C"/>
      <w:shd w:val="clear" w:color="auto" w:fill="E1DFDD"/>
    </w:rPr>
  </w:style>
  <w:style w:type="character" w:styleId="FollowedHyperlink">
    <w:name w:val="FollowedHyperlink"/>
    <w:basedOn w:val="DefaultParagraphFont"/>
    <w:semiHidden/>
    <w:unhideWhenUsed/>
    <w:rsid w:val="008329AE"/>
    <w:rPr>
      <w:color w:val="800080" w:themeColor="followedHyperlink"/>
      <w:u w:val="single"/>
    </w:rPr>
  </w:style>
  <w:style w:type="character" w:customStyle="1" w:styleId="NoteChar">
    <w:name w:val="Note Char"/>
    <w:basedOn w:val="DefaultParagraphFont"/>
    <w:link w:val="Note"/>
    <w:locked/>
    <w:rsid w:val="00881123"/>
    <w:rPr>
      <w:rFonts w:eastAsia="BatangChe"/>
      <w:noProof/>
      <w:lang w:eastAsia="ko-KR"/>
    </w:rPr>
  </w:style>
  <w:style w:type="character" w:customStyle="1" w:styleId="FooterChar">
    <w:name w:val="Footer Char"/>
    <w:basedOn w:val="DefaultParagraphFont"/>
    <w:link w:val="Footer"/>
    <w:rsid w:val="001619DB"/>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7B6A-BB7B-407E-9F7F-001B287B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2811</Words>
  <Characters>16024</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3</cp:revision>
  <cp:lastPrinted>2015-02-02T07:28:00Z</cp:lastPrinted>
  <dcterms:created xsi:type="dcterms:W3CDTF">2019-01-15T03:22:00Z</dcterms:created>
  <dcterms:modified xsi:type="dcterms:W3CDTF">2019-01-15T03:26:00Z</dcterms:modified>
</cp:coreProperties>
</file>