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31A8D" w:rsidRPr="00891D0B" w14:paraId="6E18DE49" w14:textId="77777777" w:rsidTr="00214505">
        <w:trPr>
          <w:cantSplit/>
          <w:trHeight w:val="288"/>
        </w:trPr>
        <w:tc>
          <w:tcPr>
            <w:tcW w:w="1399" w:type="dxa"/>
            <w:vMerge w:val="restart"/>
          </w:tcPr>
          <w:p w14:paraId="240FE0AD" w14:textId="77777777" w:rsidR="00C31A8D" w:rsidRPr="00891D0B" w:rsidRDefault="00C31A8D"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4D58D9F" wp14:editId="0FA6CC9B">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02B1408" w14:textId="77777777" w:rsidR="00C31A8D" w:rsidRPr="00891D0B" w:rsidRDefault="00C31A8D" w:rsidP="00214505">
            <w:pPr>
              <w:spacing w:before="40"/>
              <w:rPr>
                <w:sz w:val="22"/>
                <w:szCs w:val="22"/>
              </w:rPr>
            </w:pPr>
            <w:r w:rsidRPr="00891D0B">
              <w:rPr>
                <w:sz w:val="22"/>
                <w:szCs w:val="22"/>
              </w:rPr>
              <w:t>ASIA-PACIFIC TELECOMMUNITY</w:t>
            </w:r>
          </w:p>
        </w:tc>
        <w:tc>
          <w:tcPr>
            <w:tcW w:w="2160" w:type="dxa"/>
          </w:tcPr>
          <w:p w14:paraId="5FAC3FCF" w14:textId="77777777" w:rsidR="00C31A8D" w:rsidRPr="00891D0B" w:rsidRDefault="00C31A8D" w:rsidP="00214505">
            <w:pPr>
              <w:pStyle w:val="Heading8"/>
              <w:spacing w:before="40"/>
              <w:rPr>
                <w:sz w:val="24"/>
                <w:szCs w:val="24"/>
              </w:rPr>
            </w:pPr>
            <w:r>
              <w:rPr>
                <w:sz w:val="24"/>
                <w:szCs w:val="24"/>
              </w:rPr>
              <w:t>Document No:</w:t>
            </w:r>
          </w:p>
        </w:tc>
      </w:tr>
      <w:tr w:rsidR="00C31A8D" w:rsidRPr="00C15799" w14:paraId="75D4C09A" w14:textId="77777777" w:rsidTr="00214505">
        <w:trPr>
          <w:cantSplit/>
          <w:trHeight w:val="504"/>
        </w:trPr>
        <w:tc>
          <w:tcPr>
            <w:tcW w:w="1399" w:type="dxa"/>
            <w:vMerge/>
          </w:tcPr>
          <w:p w14:paraId="4B147A8C" w14:textId="77777777" w:rsidR="00C31A8D" w:rsidRPr="00891D0B" w:rsidRDefault="00C31A8D" w:rsidP="00214505"/>
        </w:tc>
        <w:tc>
          <w:tcPr>
            <w:tcW w:w="5760" w:type="dxa"/>
            <w:vAlign w:val="center"/>
          </w:tcPr>
          <w:p w14:paraId="6BAE3994" w14:textId="77777777" w:rsidR="00C31A8D" w:rsidRDefault="00C31A8D" w:rsidP="00214505">
            <w:pPr>
              <w:spacing w:before="40"/>
              <w:rPr>
                <w:b/>
              </w:rPr>
            </w:pPr>
            <w:r>
              <w:rPr>
                <w:b/>
              </w:rPr>
              <w:t>The 4th Meeting of the APT Conference Preparatory</w:t>
            </w:r>
          </w:p>
          <w:p w14:paraId="15E3D21D" w14:textId="77777777" w:rsidR="00C31A8D" w:rsidRPr="00891D0B" w:rsidRDefault="00C31A8D" w:rsidP="00214505">
            <w:pPr>
              <w:spacing w:line="0" w:lineRule="atLeast"/>
            </w:pPr>
            <w:r>
              <w:rPr>
                <w:b/>
              </w:rPr>
              <w:t>Group for WRC-19 (APG19-4)</w:t>
            </w:r>
          </w:p>
        </w:tc>
        <w:tc>
          <w:tcPr>
            <w:tcW w:w="2160" w:type="dxa"/>
          </w:tcPr>
          <w:p w14:paraId="60005303" w14:textId="57C89D87" w:rsidR="00C31A8D" w:rsidRDefault="00C31A8D" w:rsidP="00214505">
            <w:pPr>
              <w:spacing w:before="40"/>
              <w:rPr>
                <w:b/>
                <w:bCs/>
                <w:lang w:val="fr-FR"/>
              </w:rPr>
            </w:pPr>
            <w:r w:rsidRPr="00C96104">
              <w:rPr>
                <w:b/>
                <w:bCs/>
                <w:lang w:val="fr-FR"/>
              </w:rPr>
              <w:t>AP</w:t>
            </w:r>
            <w:r>
              <w:rPr>
                <w:b/>
                <w:bCs/>
                <w:lang w:val="fr-FR"/>
              </w:rPr>
              <w:t>G19-4/</w:t>
            </w:r>
            <w:r>
              <w:rPr>
                <w:b/>
                <w:bCs/>
                <w:lang w:val="fr-FR"/>
              </w:rPr>
              <w:t>OUT-02</w:t>
            </w:r>
          </w:p>
          <w:p w14:paraId="077D87F0" w14:textId="77777777" w:rsidR="00C31A8D" w:rsidRPr="007E1FDD" w:rsidRDefault="00C31A8D" w:rsidP="00214505">
            <w:pPr>
              <w:rPr>
                <w:b/>
                <w:bCs/>
                <w:lang w:val="en-GB"/>
              </w:rPr>
            </w:pPr>
          </w:p>
        </w:tc>
      </w:tr>
      <w:tr w:rsidR="00C31A8D" w:rsidRPr="00891D0B" w14:paraId="2A11B83C" w14:textId="77777777" w:rsidTr="00214505">
        <w:trPr>
          <w:cantSplit/>
          <w:trHeight w:val="288"/>
        </w:trPr>
        <w:tc>
          <w:tcPr>
            <w:tcW w:w="1399" w:type="dxa"/>
            <w:vMerge/>
          </w:tcPr>
          <w:p w14:paraId="7DEDB98B" w14:textId="77777777" w:rsidR="00C31A8D" w:rsidRPr="007E1FDD" w:rsidRDefault="00C31A8D" w:rsidP="00214505">
            <w:pPr>
              <w:rPr>
                <w:lang w:val="en-GB"/>
              </w:rPr>
            </w:pPr>
          </w:p>
        </w:tc>
        <w:tc>
          <w:tcPr>
            <w:tcW w:w="5760" w:type="dxa"/>
            <w:vAlign w:val="bottom"/>
          </w:tcPr>
          <w:p w14:paraId="23F41564" w14:textId="77777777" w:rsidR="00C31A8D" w:rsidRPr="00712451" w:rsidRDefault="00C31A8D" w:rsidP="00214505">
            <w:pPr>
              <w:spacing w:before="40"/>
              <w:rPr>
                <w:b/>
              </w:rPr>
            </w:pPr>
            <w:r>
              <w:t>7 – 12 January 2019</w:t>
            </w:r>
            <w:r w:rsidRPr="00891D0B">
              <w:t xml:space="preserve">, </w:t>
            </w:r>
            <w:r>
              <w:t>Busan, Republic of Korea</w:t>
            </w:r>
          </w:p>
        </w:tc>
        <w:tc>
          <w:tcPr>
            <w:tcW w:w="2160" w:type="dxa"/>
            <w:vAlign w:val="bottom"/>
          </w:tcPr>
          <w:p w14:paraId="65E55599" w14:textId="77777777" w:rsidR="00C31A8D" w:rsidRPr="007E1FDD" w:rsidRDefault="00C31A8D" w:rsidP="00214505">
            <w:pPr>
              <w:spacing w:before="40"/>
              <w:rPr>
                <w:bCs/>
              </w:rPr>
            </w:pPr>
            <w:r>
              <w:rPr>
                <w:bCs/>
              </w:rPr>
              <w:t xml:space="preserve">12 January </w:t>
            </w:r>
            <w:r w:rsidRPr="007E1FDD">
              <w:rPr>
                <w:bCs/>
              </w:rPr>
              <w:t>201</w:t>
            </w:r>
            <w:r>
              <w:rPr>
                <w:bCs/>
              </w:rPr>
              <w:t>9</w:t>
            </w:r>
          </w:p>
        </w:tc>
      </w:tr>
    </w:tbl>
    <w:p w14:paraId="2E0E673C" w14:textId="77777777" w:rsidR="00D13D9D" w:rsidRPr="00A324FF" w:rsidRDefault="00D13D9D" w:rsidP="00C31A8D">
      <w:pPr>
        <w:rPr>
          <w:lang w:val="en-NZ" w:eastAsia="ko-KR"/>
        </w:rPr>
      </w:pPr>
    </w:p>
    <w:p w14:paraId="0DB04EB8" w14:textId="77777777" w:rsidR="005805BF" w:rsidRPr="00A324FF" w:rsidRDefault="005805BF" w:rsidP="00C31A8D">
      <w:pPr>
        <w:jc w:val="center"/>
        <w:rPr>
          <w:lang w:val="en-NZ" w:eastAsia="ko-KR"/>
        </w:rPr>
      </w:pPr>
    </w:p>
    <w:p w14:paraId="2E0E6744" w14:textId="5B9CA905" w:rsidR="00B64A60" w:rsidRPr="002A0111" w:rsidRDefault="00D33C59" w:rsidP="00C31A8D">
      <w:pPr>
        <w:jc w:val="center"/>
        <w:rPr>
          <w:lang w:val="en-NZ" w:eastAsia="ko-KR"/>
        </w:rPr>
      </w:pPr>
      <w:r>
        <w:rPr>
          <w:lang w:val="en-NZ" w:eastAsia="ko-KR"/>
        </w:rPr>
        <w:t>Working Party 3</w:t>
      </w:r>
    </w:p>
    <w:p w14:paraId="3FC8B126" w14:textId="77777777" w:rsidR="005805BF" w:rsidRPr="002A0111" w:rsidRDefault="005805BF" w:rsidP="00C31A8D">
      <w:pPr>
        <w:jc w:val="center"/>
        <w:rPr>
          <w:bCs/>
          <w:caps/>
          <w:lang w:val="en-NZ" w:eastAsia="ko-KR"/>
        </w:rPr>
      </w:pPr>
    </w:p>
    <w:p w14:paraId="5CF076EB" w14:textId="11F488B6" w:rsidR="008A3CA7" w:rsidRPr="005805BF" w:rsidRDefault="008A3CA7" w:rsidP="00C31A8D">
      <w:pPr>
        <w:jc w:val="center"/>
        <w:rPr>
          <w:b/>
          <w:bCs/>
          <w:caps/>
          <w:lang w:val="en-NZ" w:eastAsia="ko-KR"/>
        </w:rPr>
      </w:pPr>
      <w:r>
        <w:rPr>
          <w:b/>
          <w:bCs/>
          <w:caps/>
          <w:lang w:val="en-NZ"/>
        </w:rPr>
        <w:t xml:space="preserve">Preliminary </w:t>
      </w:r>
      <w:r w:rsidRPr="00311E8A">
        <w:rPr>
          <w:b/>
          <w:bCs/>
          <w:caps/>
          <w:lang w:val="en-NZ"/>
        </w:rPr>
        <w:t xml:space="preserve">VIEWs on WRC-19 agenda item </w:t>
      </w:r>
      <w:r>
        <w:rPr>
          <w:rFonts w:hint="eastAsia"/>
          <w:b/>
          <w:bCs/>
          <w:caps/>
          <w:lang w:val="en-NZ" w:eastAsia="ko-KR"/>
        </w:rPr>
        <w:t xml:space="preserve">9.1 </w:t>
      </w:r>
      <w:r>
        <w:rPr>
          <w:b/>
          <w:bCs/>
          <w:caps/>
          <w:lang w:val="en-NZ" w:eastAsia="ko-KR"/>
        </w:rPr>
        <w:t>(</w:t>
      </w:r>
      <w:r>
        <w:rPr>
          <w:rFonts w:hint="eastAsia"/>
          <w:b/>
          <w:bCs/>
          <w:caps/>
          <w:lang w:val="en-NZ" w:eastAsia="ko-KR"/>
        </w:rPr>
        <w:t>Issue 9.1.2</w:t>
      </w:r>
      <w:r>
        <w:rPr>
          <w:b/>
          <w:bCs/>
          <w:caps/>
          <w:lang w:val="en-NZ" w:eastAsia="ko-KR"/>
        </w:rPr>
        <w:t>)</w:t>
      </w:r>
    </w:p>
    <w:p w14:paraId="100EEF83" w14:textId="77777777" w:rsidR="008A3CA7" w:rsidRDefault="008A3CA7" w:rsidP="00C31A8D">
      <w:pPr>
        <w:jc w:val="center"/>
        <w:rPr>
          <w:lang w:val="en-NZ" w:eastAsia="ko-KR"/>
        </w:rPr>
      </w:pPr>
    </w:p>
    <w:p w14:paraId="46501C4F" w14:textId="77777777" w:rsidR="00C31A8D" w:rsidRPr="008E3802" w:rsidRDefault="00C31A8D" w:rsidP="00C31A8D">
      <w:pPr>
        <w:jc w:val="center"/>
        <w:rPr>
          <w:lang w:val="en-NZ" w:eastAsia="ko-KR"/>
        </w:rPr>
      </w:pPr>
    </w:p>
    <w:p w14:paraId="6C65BF7F" w14:textId="77777777" w:rsidR="009A6757" w:rsidRDefault="009A6757" w:rsidP="005805BF">
      <w:pPr>
        <w:spacing w:after="120"/>
        <w:jc w:val="both"/>
      </w:pPr>
      <w:r>
        <w:rPr>
          <w:b/>
        </w:rPr>
        <w:t xml:space="preserve">Agenda Item </w:t>
      </w:r>
      <w:r>
        <w:rPr>
          <w:b/>
          <w:lang w:eastAsia="ko-KR"/>
        </w:rPr>
        <w:t>9.1</w:t>
      </w:r>
      <w:r>
        <w:rPr>
          <w:b/>
        </w:rPr>
        <w:t xml:space="preserve">: </w:t>
      </w:r>
    </w:p>
    <w:p w14:paraId="16705E4E" w14:textId="77777777" w:rsidR="009A6757" w:rsidRDefault="009A6757" w:rsidP="005805BF">
      <w:pPr>
        <w:spacing w:after="120"/>
        <w:jc w:val="both"/>
        <w:rPr>
          <w:i/>
          <w:iCs/>
        </w:rPr>
      </w:pPr>
      <w:r w:rsidRPr="00BD09FE">
        <w:rPr>
          <w:i/>
          <w:iCs/>
        </w:rPr>
        <w:t xml:space="preserve">to consider and approve the Report of the Director of the Radiocommunication Bureau, in </w:t>
      </w:r>
      <w:proofErr w:type="gramStart"/>
      <w:r w:rsidRPr="00BD09FE">
        <w:rPr>
          <w:i/>
          <w:iCs/>
        </w:rPr>
        <w:t>accordance</w:t>
      </w:r>
      <w:proofErr w:type="gramEnd"/>
      <w:r w:rsidRPr="00BD09FE">
        <w:rPr>
          <w:i/>
          <w:iCs/>
        </w:rPr>
        <w:t xml:space="preserve"> with Article 7 of the Convention</w:t>
      </w:r>
      <w:r w:rsidRPr="00BD09FE">
        <w:rPr>
          <w:i/>
          <w:iCs/>
          <w:lang w:eastAsia="ko-KR"/>
        </w:rPr>
        <w:t xml:space="preserve"> </w:t>
      </w:r>
      <w:r w:rsidRPr="00BD09FE">
        <w:rPr>
          <w:i/>
          <w:iCs/>
        </w:rPr>
        <w:t>on the activities of the Radiocommunication Sector since WRC-15</w:t>
      </w:r>
      <w:r w:rsidRPr="00B3541F">
        <w:rPr>
          <w:i/>
          <w:iCs/>
        </w:rPr>
        <w:t>;</w:t>
      </w:r>
    </w:p>
    <w:p w14:paraId="6FDE90DA" w14:textId="77777777" w:rsidR="009A6757" w:rsidRDefault="009A6757" w:rsidP="005805BF">
      <w:pPr>
        <w:spacing w:after="120"/>
        <w:jc w:val="both"/>
        <w:rPr>
          <w:lang w:eastAsia="ko-KR"/>
        </w:rPr>
      </w:pPr>
      <w:r w:rsidRPr="00BD09FE">
        <w:rPr>
          <w:rFonts w:eastAsia="MS Mincho"/>
          <w:b/>
          <w:lang w:eastAsia="ja-JP"/>
        </w:rPr>
        <w:t>Issue</w:t>
      </w:r>
      <w:r w:rsidRPr="00BD09FE">
        <w:rPr>
          <w:b/>
        </w:rPr>
        <w:t xml:space="preserve"> </w:t>
      </w:r>
      <w:r w:rsidRPr="00BD09FE">
        <w:rPr>
          <w:rFonts w:eastAsia="MS Mincho"/>
          <w:b/>
          <w:lang w:eastAsia="ja-JP"/>
        </w:rPr>
        <w:t>9.1</w:t>
      </w:r>
      <w:r w:rsidRPr="00BD09FE">
        <w:rPr>
          <w:b/>
        </w:rPr>
        <w:t>.</w:t>
      </w:r>
      <w:r>
        <w:rPr>
          <w:b/>
          <w:lang w:eastAsia="ko-KR"/>
        </w:rPr>
        <w:t>2</w:t>
      </w:r>
      <w:r w:rsidRPr="003314BB">
        <w:rPr>
          <w:rFonts w:eastAsia="Times New Roman"/>
          <w:lang w:eastAsia="ja-JP"/>
        </w:rPr>
        <w:t>:</w:t>
      </w:r>
      <w:r>
        <w:rPr>
          <w:rFonts w:eastAsia="Times New Roman"/>
          <w:lang w:eastAsia="ja-JP"/>
        </w:rPr>
        <w:t xml:space="preserve"> </w:t>
      </w:r>
      <w:r w:rsidRPr="00BD09FE">
        <w:rPr>
          <w:i/>
          <w:lang w:val="en-AU"/>
        </w:rPr>
        <w:t xml:space="preserve">Resolution </w:t>
      </w:r>
      <w:r>
        <w:rPr>
          <w:b/>
          <w:i/>
          <w:lang w:val="en-AU" w:eastAsia="ko-KR"/>
        </w:rPr>
        <w:t>761</w:t>
      </w:r>
      <w:r w:rsidRPr="00BD09FE">
        <w:rPr>
          <w:b/>
          <w:i/>
          <w:lang w:val="en-AU"/>
        </w:rPr>
        <w:t xml:space="preserve"> (WRC-1</w:t>
      </w:r>
      <w:r w:rsidRPr="00BD09FE">
        <w:rPr>
          <w:b/>
          <w:i/>
          <w:lang w:val="en-AU" w:eastAsia="ko-KR"/>
        </w:rPr>
        <w:t>5</w:t>
      </w:r>
      <w:r w:rsidRPr="00BD09FE">
        <w:rPr>
          <w:rFonts w:eastAsia="Times New Roman"/>
          <w:b/>
          <w:i/>
          <w:lang w:val="en-AU" w:eastAsia="ja-JP"/>
        </w:rPr>
        <w:t>)</w:t>
      </w:r>
      <w:r w:rsidRPr="00192B76">
        <w:rPr>
          <w:i/>
          <w:lang w:eastAsia="ko-KR"/>
        </w:rPr>
        <w:t xml:space="preserve"> - </w:t>
      </w:r>
      <w:r w:rsidRPr="000E3021">
        <w:rPr>
          <w:i/>
          <w:iCs/>
        </w:rPr>
        <w:t>Compatibility of International Mobile Telecommunications and broadcasting-satellite service (sound) in the frequency band 1 452-1 492 MHz in Regions 1 and 3</w:t>
      </w:r>
    </w:p>
    <w:p w14:paraId="4C1F9636" w14:textId="77777777" w:rsidR="002A0111" w:rsidRPr="00441526" w:rsidRDefault="002A0111" w:rsidP="005805BF">
      <w:pPr>
        <w:spacing w:after="120"/>
        <w:jc w:val="both"/>
        <w:rPr>
          <w:lang w:val="en-NZ"/>
        </w:rPr>
      </w:pPr>
    </w:p>
    <w:p w14:paraId="2B1CAAAD" w14:textId="359D0D60" w:rsidR="00B52B0B" w:rsidRPr="005A13E6" w:rsidRDefault="002A0111" w:rsidP="005805BF">
      <w:pPr>
        <w:spacing w:after="120"/>
        <w:jc w:val="both"/>
        <w:rPr>
          <w:b/>
          <w:lang w:val="en-NZ" w:eastAsia="ko-KR"/>
        </w:rPr>
      </w:pPr>
      <w:r w:rsidRPr="00441526">
        <w:rPr>
          <w:b/>
          <w:lang w:val="en-NZ" w:eastAsia="ko-KR"/>
        </w:rPr>
        <w:t xml:space="preserve">1. </w:t>
      </w:r>
      <w:r w:rsidRPr="00441526">
        <w:rPr>
          <w:b/>
          <w:lang w:val="en-NZ" w:eastAsia="ko-KR"/>
        </w:rPr>
        <w:tab/>
        <w:t>Background</w:t>
      </w:r>
    </w:p>
    <w:p w14:paraId="5A474CFB" w14:textId="77777777" w:rsidR="002318E8" w:rsidRPr="005021DC" w:rsidRDefault="002318E8" w:rsidP="002318E8">
      <w:pPr>
        <w:adjustRightInd w:val="0"/>
        <w:spacing w:afterLines="50" w:after="120"/>
        <w:jc w:val="both"/>
      </w:pPr>
      <w:r>
        <w:t xml:space="preserve">Pursuant to Resolution </w:t>
      </w:r>
      <w:r w:rsidRPr="0040576F">
        <w:rPr>
          <w:b/>
        </w:rPr>
        <w:t>761 (WRC-15)</w:t>
      </w:r>
      <w:r>
        <w:t xml:space="preserve">, the regulatory and technical studies between International </w:t>
      </w:r>
      <w:r w:rsidRPr="00E90A35">
        <w:t>Mobile Telecommunications (IMT) and broadcasting-satellite service (sound) (BSS (sound)) in the frequency band 1 452-1 492 MHz in Regions 1 and 3 were conducted</w:t>
      </w:r>
      <w:r w:rsidRPr="005021DC">
        <w:t xml:space="preserve"> by ITU-R, taking into account IMT and BSS (sound) operational requirements. </w:t>
      </w:r>
    </w:p>
    <w:p w14:paraId="3C98E451" w14:textId="4F0E6883" w:rsidR="002318E8" w:rsidRDefault="005A1D07" w:rsidP="005805BF">
      <w:pPr>
        <w:snapToGrid w:val="0"/>
        <w:spacing w:after="120"/>
        <w:jc w:val="both"/>
        <w:rPr>
          <w:lang w:eastAsia="ko-KR"/>
        </w:rPr>
      </w:pPr>
      <w:r>
        <w:rPr>
          <w:rFonts w:hint="eastAsia"/>
          <w:lang w:eastAsia="ko-KR"/>
        </w:rPr>
        <w:t xml:space="preserve">ITU-R WP 4A and </w:t>
      </w:r>
      <w:r>
        <w:rPr>
          <w:lang w:eastAsia="ko-KR"/>
        </w:rPr>
        <w:t xml:space="preserve">WP </w:t>
      </w:r>
      <w:r>
        <w:rPr>
          <w:rFonts w:hint="eastAsia"/>
          <w:lang w:eastAsia="ko-KR"/>
        </w:rPr>
        <w:t xml:space="preserve">5D are </w:t>
      </w:r>
      <w:r>
        <w:rPr>
          <w:lang w:eastAsia="ko-KR"/>
        </w:rPr>
        <w:t xml:space="preserve">the </w:t>
      </w:r>
      <w:r>
        <w:rPr>
          <w:rFonts w:hint="eastAsia"/>
          <w:lang w:eastAsia="ko-KR"/>
        </w:rPr>
        <w:t xml:space="preserve">responsible groups for </w:t>
      </w:r>
      <w:r>
        <w:rPr>
          <w:lang w:eastAsia="ko-KR"/>
        </w:rPr>
        <w:t>this study</w:t>
      </w:r>
      <w:r>
        <w:rPr>
          <w:rFonts w:hint="eastAsia"/>
          <w:lang w:eastAsia="ko-KR"/>
        </w:rPr>
        <w:t xml:space="preserve">. WP 4A </w:t>
      </w:r>
      <w:r>
        <w:rPr>
          <w:lang w:eastAsia="ko-KR"/>
        </w:rPr>
        <w:t>and WP 5D have</w:t>
      </w:r>
      <w:r>
        <w:rPr>
          <w:rFonts w:hint="eastAsia"/>
          <w:lang w:eastAsia="ko-KR"/>
        </w:rPr>
        <w:t xml:space="preserve"> conducted the compatibility studies with respect to the protection of BSS (sound) and IMT respectively.</w:t>
      </w:r>
      <w:r>
        <w:rPr>
          <w:lang w:eastAsia="ko-KR"/>
        </w:rPr>
        <w:t xml:space="preserve"> WP 4A and WP 5D developed</w:t>
      </w:r>
      <w:r>
        <w:rPr>
          <w:rFonts w:hint="eastAsia"/>
          <w:lang w:eastAsia="ko-KR"/>
        </w:rPr>
        <w:t xml:space="preserve"> the </w:t>
      </w:r>
      <w:r w:rsidR="009313F3">
        <w:rPr>
          <w:lang w:eastAsia="ko-KR"/>
        </w:rPr>
        <w:t xml:space="preserve">8 of possible actions </w:t>
      </w:r>
      <w:r>
        <w:rPr>
          <w:lang w:eastAsia="ko-KR"/>
        </w:rPr>
        <w:t xml:space="preserve">for protecting IMT and BSS(sound) and those will be applied as stipulation or coordination threshold values in Radio Regulations </w:t>
      </w:r>
      <w:r w:rsidR="00EF6C13">
        <w:rPr>
          <w:lang w:eastAsia="ko-KR"/>
        </w:rPr>
        <w:t>as well as</w:t>
      </w:r>
      <w:r w:rsidR="00122682" w:rsidRPr="00122682">
        <w:rPr>
          <w:lang w:eastAsia="ko-KR"/>
        </w:rPr>
        <w:t xml:space="preserve"> maintaining the status quo (i.e. no changes to the Radio Regulations) </w:t>
      </w:r>
      <w:r w:rsidRPr="00122682">
        <w:rPr>
          <w:lang w:eastAsia="ko-KR"/>
        </w:rPr>
        <w:t>as follows.</w:t>
      </w:r>
    </w:p>
    <w:p w14:paraId="74CEEB66" w14:textId="77777777" w:rsidR="005A1D07" w:rsidRPr="00F624F2" w:rsidRDefault="005A1D07" w:rsidP="005A1D07">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sz w:val="20"/>
          <w:szCs w:val="20"/>
          <w:shd w:val="clear" w:color="auto" w:fill="FFFFFF"/>
          <w:lang w:val="en-GB" w:eastAsia="ja-JP"/>
        </w:rPr>
      </w:pPr>
      <w:r w:rsidRPr="00F624F2">
        <w:rPr>
          <w:rFonts w:eastAsia="MS Mincho"/>
          <w:caps/>
          <w:sz w:val="20"/>
          <w:szCs w:val="20"/>
          <w:shd w:val="clear" w:color="auto" w:fill="FFFFFF"/>
          <w:lang w:val="en-GB" w:eastAsia="ja-JP"/>
        </w:rPr>
        <w:t>Table 1</w:t>
      </w:r>
    </w:p>
    <w:p w14:paraId="4129A51C" w14:textId="1CC2F31E" w:rsidR="005A1D07" w:rsidRPr="00F624F2" w:rsidRDefault="005A1D07" w:rsidP="005A1D07">
      <w:pPr>
        <w:keepNext/>
        <w:keepLines/>
        <w:tabs>
          <w:tab w:val="left" w:pos="1134"/>
          <w:tab w:val="left" w:pos="1871"/>
          <w:tab w:val="left" w:pos="2268"/>
        </w:tabs>
        <w:overflowPunct w:val="0"/>
        <w:autoSpaceDE w:val="0"/>
        <w:autoSpaceDN w:val="0"/>
        <w:adjustRightInd w:val="0"/>
        <w:spacing w:before="240" w:after="120"/>
        <w:jc w:val="center"/>
        <w:textAlignment w:val="baseline"/>
        <w:rPr>
          <w:rFonts w:eastAsia="MS Mincho"/>
          <w:b/>
          <w:sz w:val="20"/>
          <w:szCs w:val="20"/>
          <w:shd w:val="clear" w:color="auto" w:fill="FFFFFF"/>
          <w:lang w:val="en-GB" w:eastAsia="ja-JP"/>
        </w:rPr>
      </w:pPr>
      <w:r w:rsidRPr="00F624F2">
        <w:rPr>
          <w:rFonts w:eastAsia="MS Mincho"/>
          <w:b/>
          <w:sz w:val="20"/>
          <w:szCs w:val="20"/>
          <w:shd w:val="clear" w:color="auto" w:fill="FFFFFF"/>
          <w:lang w:val="en-GB" w:eastAsia="ja-JP"/>
        </w:rPr>
        <w:t>Possible actions with respect to WRC-19 agenda item 9.1, i</w:t>
      </w:r>
      <w:r>
        <w:rPr>
          <w:rFonts w:eastAsia="MS Mincho"/>
          <w:b/>
          <w:sz w:val="20"/>
          <w:szCs w:val="20"/>
          <w:shd w:val="clear" w:color="auto" w:fill="FFFFFF"/>
          <w:lang w:val="en-GB" w:eastAsia="ja-JP"/>
        </w:rPr>
        <w:t>ssue 9.1.2, in Regions 1 and 3</w:t>
      </w:r>
    </w:p>
    <w:tbl>
      <w:tblPr>
        <w:tblStyle w:val="2"/>
        <w:tblW w:w="10274" w:type="dxa"/>
        <w:jc w:val="center"/>
        <w:tblLook w:val="04A0" w:firstRow="1" w:lastRow="0" w:firstColumn="1" w:lastColumn="0" w:noHBand="0" w:noVBand="1"/>
      </w:tblPr>
      <w:tblGrid>
        <w:gridCol w:w="1560"/>
        <w:gridCol w:w="4536"/>
        <w:gridCol w:w="4178"/>
      </w:tblGrid>
      <w:tr w:rsidR="005A1D07" w:rsidRPr="00F624F2" w14:paraId="5C32355C" w14:textId="77777777" w:rsidTr="00C67952">
        <w:trPr>
          <w:tblHeader/>
          <w:jc w:val="center"/>
        </w:trPr>
        <w:tc>
          <w:tcPr>
            <w:tcW w:w="1560" w:type="dxa"/>
          </w:tcPr>
          <w:p w14:paraId="75B00327" w14:textId="77777777" w:rsidR="005A1D07" w:rsidRPr="00F624F2" w:rsidRDefault="005A1D07" w:rsidP="00C67952">
            <w:pPr>
              <w:keepNext/>
              <w:tabs>
                <w:tab w:val="left" w:pos="1134"/>
                <w:tab w:val="left" w:pos="1871"/>
                <w:tab w:val="left" w:pos="2268"/>
              </w:tabs>
              <w:overflowPunct w:val="0"/>
              <w:autoSpaceDE w:val="0"/>
              <w:autoSpaceDN w:val="0"/>
              <w:adjustRightInd w:val="0"/>
              <w:spacing w:before="80" w:after="80"/>
              <w:jc w:val="center"/>
              <w:textAlignment w:val="baseline"/>
              <w:rPr>
                <w:rFonts w:eastAsia="MS Mincho" w:cs="Times New Roman Bold"/>
                <w:b/>
                <w:sz w:val="20"/>
                <w:szCs w:val="20"/>
                <w:lang w:val="en-GB"/>
              </w:rPr>
            </w:pPr>
            <w:r w:rsidRPr="00F624F2">
              <w:rPr>
                <w:rFonts w:eastAsia="MS Mincho" w:cs="Times New Roman Bold"/>
                <w:b/>
                <w:sz w:val="20"/>
                <w:szCs w:val="20"/>
                <w:lang w:val="en-GB"/>
              </w:rPr>
              <w:t>Possible action</w:t>
            </w:r>
          </w:p>
        </w:tc>
        <w:tc>
          <w:tcPr>
            <w:tcW w:w="4536" w:type="dxa"/>
          </w:tcPr>
          <w:p w14:paraId="7C75E327" w14:textId="77777777" w:rsidR="005A1D07" w:rsidRPr="00F624F2" w:rsidRDefault="005A1D07" w:rsidP="00C67952">
            <w:pPr>
              <w:keepNext/>
              <w:tabs>
                <w:tab w:val="left" w:pos="1134"/>
                <w:tab w:val="left" w:pos="1871"/>
                <w:tab w:val="left" w:pos="2268"/>
              </w:tabs>
              <w:overflowPunct w:val="0"/>
              <w:autoSpaceDE w:val="0"/>
              <w:autoSpaceDN w:val="0"/>
              <w:adjustRightInd w:val="0"/>
              <w:spacing w:before="80" w:after="80"/>
              <w:jc w:val="center"/>
              <w:textAlignment w:val="baseline"/>
              <w:rPr>
                <w:rFonts w:eastAsia="MS Mincho" w:cs="Times New Roman Bold"/>
                <w:b/>
                <w:sz w:val="20"/>
                <w:szCs w:val="20"/>
                <w:lang w:val="en-GB"/>
              </w:rPr>
            </w:pPr>
            <w:r w:rsidRPr="00F624F2">
              <w:rPr>
                <w:rFonts w:eastAsia="MS Mincho" w:cs="Times New Roman Bold"/>
                <w:b/>
                <w:sz w:val="20"/>
                <w:szCs w:val="20"/>
                <w:lang w:val="en-GB" w:eastAsia="ja-JP"/>
              </w:rPr>
              <w:t>Protection of IMT stations</w:t>
            </w:r>
          </w:p>
        </w:tc>
        <w:tc>
          <w:tcPr>
            <w:tcW w:w="4178" w:type="dxa"/>
          </w:tcPr>
          <w:p w14:paraId="51985643" w14:textId="77777777" w:rsidR="005A1D07" w:rsidRPr="00F624F2" w:rsidRDefault="005A1D07" w:rsidP="00C67952">
            <w:pPr>
              <w:keepNext/>
              <w:tabs>
                <w:tab w:val="left" w:pos="1134"/>
                <w:tab w:val="left" w:pos="1871"/>
                <w:tab w:val="left" w:pos="2268"/>
              </w:tabs>
              <w:overflowPunct w:val="0"/>
              <w:autoSpaceDE w:val="0"/>
              <w:autoSpaceDN w:val="0"/>
              <w:adjustRightInd w:val="0"/>
              <w:spacing w:before="80" w:after="80"/>
              <w:jc w:val="center"/>
              <w:textAlignment w:val="baseline"/>
              <w:rPr>
                <w:rFonts w:eastAsia="MS Mincho" w:cs="Times New Roman Bold"/>
                <w:b/>
                <w:sz w:val="20"/>
                <w:szCs w:val="20"/>
                <w:lang w:val="en-GB" w:eastAsia="ja-JP"/>
              </w:rPr>
            </w:pPr>
            <w:r w:rsidRPr="00F624F2">
              <w:rPr>
                <w:rFonts w:eastAsia="MS Mincho" w:cs="Times New Roman Bold"/>
                <w:b/>
                <w:sz w:val="20"/>
                <w:szCs w:val="20"/>
                <w:lang w:val="en-GB" w:eastAsia="ja-JP"/>
              </w:rPr>
              <w:t>Protection of BSS (sound) receivers</w:t>
            </w:r>
          </w:p>
        </w:tc>
      </w:tr>
      <w:tr w:rsidR="005A1D07" w:rsidRPr="00F624F2" w14:paraId="5E9A16B7" w14:textId="77777777" w:rsidTr="00C67952">
        <w:trPr>
          <w:jc w:val="center"/>
        </w:trPr>
        <w:tc>
          <w:tcPr>
            <w:tcW w:w="1560" w:type="dxa"/>
          </w:tcPr>
          <w:p w14:paraId="0D35EF47"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1</w:t>
            </w:r>
          </w:p>
        </w:tc>
        <w:tc>
          <w:tcPr>
            <w:tcW w:w="4536" w:type="dxa"/>
          </w:tcPr>
          <w:p w14:paraId="69293D00"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c>
          <w:tcPr>
            <w:tcW w:w="4178" w:type="dxa"/>
          </w:tcPr>
          <w:p w14:paraId="6E160A67"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r>
      <w:tr w:rsidR="005A1D07" w:rsidRPr="00F624F2" w14:paraId="0A992FCE" w14:textId="77777777" w:rsidTr="00C67952">
        <w:trPr>
          <w:jc w:val="center"/>
        </w:trPr>
        <w:tc>
          <w:tcPr>
            <w:tcW w:w="1560" w:type="dxa"/>
          </w:tcPr>
          <w:p w14:paraId="586649B7"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2</w:t>
            </w:r>
          </w:p>
        </w:tc>
        <w:tc>
          <w:tcPr>
            <w:tcW w:w="4536" w:type="dxa"/>
          </w:tcPr>
          <w:p w14:paraId="6726C62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 for those countries for which the band is not identified for IMT.</w:t>
            </w:r>
          </w:p>
        </w:tc>
        <w:tc>
          <w:tcPr>
            <w:tcW w:w="4178" w:type="dxa"/>
          </w:tcPr>
          <w:p w14:paraId="558C8362"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 for those countries for which the band is not identified for IMT.</w:t>
            </w:r>
          </w:p>
        </w:tc>
      </w:tr>
      <w:tr w:rsidR="005A1D07" w:rsidRPr="00F624F2" w14:paraId="69DC7F1D" w14:textId="77777777" w:rsidTr="00C67952">
        <w:trPr>
          <w:jc w:val="center"/>
        </w:trPr>
        <w:tc>
          <w:tcPr>
            <w:tcW w:w="1560" w:type="dxa"/>
          </w:tcPr>
          <w:p w14:paraId="31CBA63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3</w:t>
            </w:r>
          </w:p>
        </w:tc>
        <w:tc>
          <w:tcPr>
            <w:tcW w:w="4536" w:type="dxa"/>
          </w:tcPr>
          <w:p w14:paraId="6CB43E2E"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w:t>
            </w:r>
            <w:proofErr w:type="spellStart"/>
            <w:r w:rsidRPr="00F624F2">
              <w:rPr>
                <w:rFonts w:eastAsia="MS Mincho"/>
                <w:sz w:val="20"/>
                <w:szCs w:val="20"/>
                <w:lang w:val="en-GB" w:eastAsia="ja-JP"/>
              </w:rPr>
              <w:t>p</w:t>
            </w:r>
            <w:r w:rsidRPr="00F624F2">
              <w:rPr>
                <w:rFonts w:eastAsia="MS Mincho"/>
                <w:sz w:val="20"/>
                <w:szCs w:val="20"/>
                <w:lang w:val="en-GB"/>
              </w:rPr>
              <w:t>fd</w:t>
            </w:r>
            <w:proofErr w:type="spellEnd"/>
            <w:r w:rsidRPr="00F624F2">
              <w:rPr>
                <w:rFonts w:eastAsia="MS Mincho"/>
                <w:sz w:val="20"/>
                <w:szCs w:val="20"/>
                <w:lang w:val="en-GB"/>
              </w:rPr>
              <w:t xml:space="preserve"> limit</w:t>
            </w:r>
            <w:r w:rsidRPr="00F624F2">
              <w:rPr>
                <w:rFonts w:eastAsia="MS Mincho"/>
                <w:sz w:val="20"/>
                <w:szCs w:val="20"/>
                <w:lang w:val="en-GB" w:eastAsia="ja-JP"/>
              </w:rPr>
              <w:t>(s) for BSS (sound) space stations. Three alternatives are available in this action.</w:t>
            </w:r>
          </w:p>
          <w:p w14:paraId="59C25F5F"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1</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sz w:val="20"/>
                <w:szCs w:val="20"/>
                <w:lang w:val="en-GB" w:eastAsia="ja-JP"/>
              </w:rPr>
              <w:t>21-4</w:t>
            </w:r>
            <w:r w:rsidRPr="00F624F2">
              <w:rPr>
                <w:rFonts w:eastAsia="MS Mincho"/>
                <w:sz w:val="20"/>
                <w:szCs w:val="20"/>
                <w:lang w:val="en-GB" w:eastAsia="ja-JP"/>
              </w:rPr>
              <w:t xml:space="preserve"> under RR No. </w:t>
            </w:r>
            <w:r w:rsidRPr="00F624F2">
              <w:rPr>
                <w:rFonts w:eastAsia="MS Mincho"/>
                <w:b/>
                <w:bCs/>
                <w:sz w:val="20"/>
                <w:szCs w:val="20"/>
                <w:lang w:val="en-GB"/>
              </w:rPr>
              <w:t>21.16</w:t>
            </w:r>
            <w:r w:rsidRPr="00F624F2">
              <w:rPr>
                <w:rFonts w:eastAsia="MS Mincho"/>
                <w:b/>
                <w:sz w:val="20"/>
                <w:szCs w:val="20"/>
                <w:lang w:val="en-GB" w:eastAsia="ja-JP"/>
              </w:rPr>
              <w:t xml:space="preserve"> </w:t>
            </w:r>
            <w:r w:rsidRPr="00F624F2">
              <w:rPr>
                <w:rFonts w:eastAsia="MS Mincho"/>
                <w:sz w:val="20"/>
                <w:szCs w:val="20"/>
                <w:lang w:val="en-GB" w:eastAsia="ja-JP"/>
              </w:rPr>
              <w:t>taking into account protection of IMT mobile stations.</w:t>
            </w:r>
          </w:p>
          <w:p w14:paraId="10D1B8AD" w14:textId="77777777" w:rsidR="005A1D07" w:rsidRPr="00F624F2" w:rsidRDefault="005A1D07" w:rsidP="00C67952">
            <w:pPr>
              <w:spacing w:beforeLines="50" w:before="120"/>
              <w:rPr>
                <w:rFonts w:eastAsia="MS Mincho"/>
                <w:sz w:val="20"/>
                <w:szCs w:val="20"/>
                <w:lang w:val="en-GB" w:eastAsia="ja-JP"/>
              </w:rPr>
            </w:pPr>
            <w:r w:rsidRPr="00F624F2">
              <w:rPr>
                <w:rFonts w:eastAsia="MS Mincho"/>
                <w:sz w:val="20"/>
                <w:szCs w:val="20"/>
                <w:u w:val="single"/>
                <w:lang w:val="en-GB" w:eastAsia="ja-JP"/>
              </w:rPr>
              <w:lastRenderedPageBreak/>
              <w:t>Alternative 2</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bCs/>
                <w:sz w:val="20"/>
                <w:szCs w:val="20"/>
                <w:lang w:val="en-GB" w:eastAsia="ja-JP"/>
              </w:rPr>
              <w:t xml:space="preserve">21-4 </w:t>
            </w:r>
            <w:r w:rsidRPr="00F624F2">
              <w:rPr>
                <w:rFonts w:eastAsia="MS Mincho"/>
                <w:sz w:val="20"/>
                <w:szCs w:val="20"/>
                <w:lang w:val="en-GB" w:eastAsia="ja-JP"/>
              </w:rPr>
              <w:t xml:space="preserve">under RR No. </w:t>
            </w:r>
            <w:r w:rsidRPr="00F624F2">
              <w:rPr>
                <w:rFonts w:eastAsia="MS Mincho"/>
                <w:b/>
                <w:bCs/>
                <w:sz w:val="20"/>
                <w:szCs w:val="16"/>
                <w:lang w:val="en-GB"/>
              </w:rPr>
              <w:t>21.16</w:t>
            </w:r>
            <w:r w:rsidRPr="00F624F2">
              <w:rPr>
                <w:rFonts w:eastAsia="MS Mincho"/>
                <w:sz w:val="16"/>
                <w:szCs w:val="16"/>
                <w:lang w:val="en-GB" w:eastAsia="ja-JP"/>
              </w:rPr>
              <w:t xml:space="preserve"> </w:t>
            </w:r>
            <w:r w:rsidRPr="00F624F2">
              <w:rPr>
                <w:rFonts w:eastAsia="MS Mincho"/>
                <w:sz w:val="20"/>
                <w:szCs w:val="20"/>
                <w:lang w:val="en-GB" w:eastAsia="ja-JP"/>
              </w:rPr>
              <w:t xml:space="preserve">taking into account protection of IMT base and mobile stations. </w:t>
            </w:r>
          </w:p>
          <w:p w14:paraId="58A66D4F"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3</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a new footnote taking into account the operational requirement of </w:t>
            </w:r>
            <w:proofErr w:type="gramStart"/>
            <w:r w:rsidRPr="00F624F2">
              <w:rPr>
                <w:rFonts w:eastAsia="MS Mincho"/>
                <w:sz w:val="20"/>
                <w:szCs w:val="20"/>
                <w:lang w:val="en-GB" w:eastAsia="ja-JP"/>
              </w:rPr>
              <w:t>BSS(</w:t>
            </w:r>
            <w:proofErr w:type="gramEnd"/>
            <w:r w:rsidRPr="00F624F2">
              <w:rPr>
                <w:rFonts w:eastAsia="MS Mincho"/>
                <w:sz w:val="20"/>
                <w:szCs w:val="20"/>
                <w:lang w:val="en-GB" w:eastAsia="ja-JP"/>
              </w:rPr>
              <w:t>sound) system.</w:t>
            </w:r>
          </w:p>
        </w:tc>
        <w:tc>
          <w:tcPr>
            <w:tcW w:w="4178" w:type="dxa"/>
          </w:tcPr>
          <w:p w14:paraId="03BC4CD7"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lastRenderedPageBreak/>
              <w:t>Maintain status quo (i.e. no changes to the Radio Regulations).</w:t>
            </w:r>
          </w:p>
        </w:tc>
      </w:tr>
      <w:tr w:rsidR="005A1D07" w:rsidRPr="00F624F2" w14:paraId="100CE1A6" w14:textId="77777777" w:rsidTr="00C67952">
        <w:trPr>
          <w:jc w:val="center"/>
        </w:trPr>
        <w:tc>
          <w:tcPr>
            <w:tcW w:w="1560" w:type="dxa"/>
          </w:tcPr>
          <w:p w14:paraId="4B055F6A"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4</w:t>
            </w:r>
          </w:p>
        </w:tc>
        <w:tc>
          <w:tcPr>
            <w:tcW w:w="4536" w:type="dxa"/>
          </w:tcPr>
          <w:p w14:paraId="282A4438"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c>
          <w:tcPr>
            <w:tcW w:w="4178" w:type="dxa"/>
          </w:tcPr>
          <w:p w14:paraId="7887E298"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eastAsia="ja-JP"/>
              </w:rPr>
              <w:t xml:space="preserve">Stipulate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limit for IMT stations</w:t>
            </w:r>
            <w:r w:rsidRPr="00F624F2">
              <w:rPr>
                <w:rFonts w:eastAsia="MS Mincho"/>
                <w:sz w:val="20"/>
                <w:szCs w:val="20"/>
              </w:rPr>
              <w:t xml:space="preserve"> </w:t>
            </w:r>
            <w:r w:rsidRPr="00F624F2">
              <w:rPr>
                <w:rFonts w:eastAsia="MS Mincho"/>
                <w:sz w:val="20"/>
                <w:szCs w:val="20"/>
                <w:lang w:eastAsia="ja-JP"/>
              </w:rPr>
              <w:t xml:space="preserve">by modification of RR Nos. </w:t>
            </w:r>
            <w:r w:rsidRPr="00F624F2">
              <w:rPr>
                <w:rFonts w:eastAsia="MS Mincho"/>
                <w:b/>
                <w:bCs/>
                <w:sz w:val="20"/>
                <w:szCs w:val="20"/>
                <w:lang w:eastAsia="ja-JP"/>
              </w:rPr>
              <w:t>5.346</w:t>
            </w:r>
            <w:r w:rsidRPr="00F624F2">
              <w:rPr>
                <w:rFonts w:eastAsia="MS Mincho"/>
                <w:sz w:val="20"/>
                <w:szCs w:val="20"/>
                <w:lang w:eastAsia="ja-JP"/>
              </w:rPr>
              <w:t xml:space="preserve"> and </w:t>
            </w:r>
            <w:r w:rsidRPr="00F624F2">
              <w:rPr>
                <w:rFonts w:eastAsia="MS Mincho"/>
                <w:b/>
                <w:bCs/>
                <w:sz w:val="20"/>
                <w:szCs w:val="20"/>
                <w:lang w:eastAsia="ja-JP"/>
              </w:rPr>
              <w:t>5.346A</w:t>
            </w:r>
            <w:r w:rsidRPr="00F624F2">
              <w:rPr>
                <w:rFonts w:eastAsia="MS Mincho"/>
                <w:sz w:val="20"/>
                <w:szCs w:val="20"/>
                <w:lang w:eastAsia="ja-JP"/>
              </w:rPr>
              <w:t>.</w:t>
            </w:r>
          </w:p>
        </w:tc>
      </w:tr>
      <w:tr w:rsidR="005A1D07" w:rsidRPr="00F624F2" w14:paraId="38B06D72" w14:textId="77777777" w:rsidTr="00C67952">
        <w:trPr>
          <w:jc w:val="center"/>
        </w:trPr>
        <w:tc>
          <w:tcPr>
            <w:tcW w:w="1560" w:type="dxa"/>
          </w:tcPr>
          <w:p w14:paraId="59395DAB"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5</w:t>
            </w:r>
          </w:p>
        </w:tc>
        <w:tc>
          <w:tcPr>
            <w:tcW w:w="4536" w:type="dxa"/>
          </w:tcPr>
          <w:p w14:paraId="08CB441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a new coordination threshold for RR No. </w:t>
            </w:r>
            <w:r w:rsidRPr="00F624F2">
              <w:rPr>
                <w:rFonts w:eastAsia="MS Mincho"/>
                <w:b/>
                <w:bCs/>
                <w:sz w:val="20"/>
                <w:szCs w:val="20"/>
                <w:lang w:val="en-GB"/>
              </w:rPr>
              <w:t>9.11</w:t>
            </w:r>
            <w:r w:rsidRPr="00F624F2">
              <w:rPr>
                <w:rFonts w:eastAsia="MS Mincho"/>
                <w:sz w:val="20"/>
                <w:szCs w:val="20"/>
                <w:lang w:val="en-GB" w:eastAsia="ja-JP"/>
              </w:rPr>
              <w:t xml:space="preserve"> based on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w:t>
            </w:r>
          </w:p>
          <w:p w14:paraId="78FFC719"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 is stipulated in a new footnote taking into account the </w:t>
            </w:r>
            <w:proofErr w:type="spellStart"/>
            <w:r w:rsidRPr="00F624F2">
              <w:rPr>
                <w:rFonts w:eastAsia="MS Mincho"/>
                <w:sz w:val="20"/>
                <w:szCs w:val="20"/>
                <w:lang w:val="en-GB" w:eastAsia="ja-JP"/>
              </w:rPr>
              <w:t>e.i.r.p</w:t>
            </w:r>
            <w:proofErr w:type="spellEnd"/>
            <w:r w:rsidRPr="00F624F2">
              <w:rPr>
                <w:rFonts w:eastAsia="MS Mincho"/>
                <w:sz w:val="20"/>
                <w:szCs w:val="20"/>
                <w:lang w:val="en-GB" w:eastAsia="ja-JP"/>
              </w:rPr>
              <w:t xml:space="preserve">. value of 70.8 </w:t>
            </w:r>
            <w:proofErr w:type="spellStart"/>
            <w:r w:rsidRPr="00F624F2">
              <w:rPr>
                <w:rFonts w:eastAsia="MS Mincho"/>
                <w:sz w:val="20"/>
                <w:szCs w:val="20"/>
                <w:lang w:val="en-GB" w:eastAsia="ja-JP"/>
              </w:rPr>
              <w:t>dBW</w:t>
            </w:r>
            <w:proofErr w:type="spellEnd"/>
            <w:r w:rsidRPr="00F624F2">
              <w:rPr>
                <w:rFonts w:eastAsia="MS Mincho"/>
                <w:sz w:val="20"/>
                <w:szCs w:val="20"/>
                <w:lang w:val="en-GB" w:eastAsia="ja-JP"/>
              </w:rPr>
              <w:t xml:space="preserve"> for a space station of BSS (sound).</w:t>
            </w:r>
          </w:p>
        </w:tc>
        <w:tc>
          <w:tcPr>
            <w:tcW w:w="4178" w:type="dxa"/>
          </w:tcPr>
          <w:p w14:paraId="0785F263"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r>
      <w:tr w:rsidR="005A1D07" w:rsidRPr="00F624F2" w14:paraId="1331B76F" w14:textId="77777777" w:rsidTr="00C67952">
        <w:trPr>
          <w:jc w:val="center"/>
        </w:trPr>
        <w:tc>
          <w:tcPr>
            <w:tcW w:w="1560" w:type="dxa"/>
          </w:tcPr>
          <w:p w14:paraId="63639211"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6</w:t>
            </w:r>
          </w:p>
        </w:tc>
        <w:tc>
          <w:tcPr>
            <w:tcW w:w="4536" w:type="dxa"/>
          </w:tcPr>
          <w:p w14:paraId="7DE78657"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c>
          <w:tcPr>
            <w:tcW w:w="4178" w:type="dxa"/>
          </w:tcPr>
          <w:p w14:paraId="3619B49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eastAsia="ja-JP"/>
              </w:rPr>
            </w:pPr>
            <w:r w:rsidRPr="00F624F2">
              <w:rPr>
                <w:rFonts w:eastAsia="MS Mincho"/>
                <w:sz w:val="20"/>
                <w:szCs w:val="20"/>
                <w:lang w:eastAsia="ja-JP"/>
              </w:rPr>
              <w:t xml:space="preserve">Stipulate a new coordination threshold for RR No. </w:t>
            </w:r>
            <w:r w:rsidRPr="00F624F2">
              <w:rPr>
                <w:rFonts w:eastAsia="MS Mincho"/>
                <w:b/>
                <w:sz w:val="20"/>
                <w:szCs w:val="20"/>
                <w:lang w:eastAsia="ja-JP"/>
              </w:rPr>
              <w:t>9.19</w:t>
            </w:r>
            <w:r w:rsidRPr="00F624F2">
              <w:rPr>
                <w:rFonts w:eastAsia="MS Mincho"/>
                <w:sz w:val="20"/>
                <w:szCs w:val="20"/>
                <w:lang w:eastAsia="ja-JP"/>
              </w:rPr>
              <w:t xml:space="preserve"> based on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value to reach coexistence for protection of BSS (sound) receivers.</w:t>
            </w:r>
          </w:p>
        </w:tc>
      </w:tr>
      <w:tr w:rsidR="005A1D07" w:rsidRPr="00F624F2" w14:paraId="0E4B43AC" w14:textId="77777777" w:rsidTr="00C67952">
        <w:trPr>
          <w:jc w:val="center"/>
        </w:trPr>
        <w:tc>
          <w:tcPr>
            <w:tcW w:w="1560" w:type="dxa"/>
          </w:tcPr>
          <w:p w14:paraId="7556E81A"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7</w:t>
            </w:r>
          </w:p>
        </w:tc>
        <w:tc>
          <w:tcPr>
            <w:tcW w:w="4536" w:type="dxa"/>
          </w:tcPr>
          <w:p w14:paraId="221311ED"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w:t>
            </w:r>
            <w:proofErr w:type="spellStart"/>
            <w:r w:rsidRPr="00F624F2">
              <w:rPr>
                <w:rFonts w:eastAsia="MS Mincho"/>
                <w:sz w:val="20"/>
                <w:szCs w:val="20"/>
                <w:lang w:val="en-GB" w:eastAsia="ja-JP"/>
              </w:rPr>
              <w:t>p</w:t>
            </w:r>
            <w:r w:rsidRPr="00F624F2">
              <w:rPr>
                <w:rFonts w:eastAsia="MS Mincho"/>
                <w:sz w:val="20"/>
                <w:szCs w:val="20"/>
                <w:lang w:val="en-GB"/>
              </w:rPr>
              <w:t>fd</w:t>
            </w:r>
            <w:proofErr w:type="spellEnd"/>
            <w:r w:rsidRPr="00F624F2">
              <w:rPr>
                <w:rFonts w:eastAsia="MS Mincho"/>
                <w:sz w:val="20"/>
                <w:szCs w:val="20"/>
                <w:lang w:val="en-GB"/>
              </w:rPr>
              <w:t xml:space="preserve"> limit</w:t>
            </w:r>
            <w:r w:rsidRPr="00F624F2">
              <w:rPr>
                <w:rFonts w:eastAsia="MS Mincho"/>
                <w:sz w:val="20"/>
                <w:szCs w:val="20"/>
                <w:lang w:val="en-GB" w:eastAsia="ja-JP"/>
              </w:rPr>
              <w:t>(s) for BSS (sound) space stations. Three alternatives are available in this action.</w:t>
            </w:r>
          </w:p>
          <w:p w14:paraId="50A37AE7"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1</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sz w:val="20"/>
                <w:szCs w:val="20"/>
                <w:lang w:val="en-GB" w:eastAsia="ja-JP"/>
              </w:rPr>
              <w:t>21-4</w:t>
            </w:r>
            <w:r w:rsidRPr="00F624F2">
              <w:rPr>
                <w:rFonts w:eastAsia="MS Mincho"/>
                <w:sz w:val="20"/>
                <w:szCs w:val="20"/>
                <w:lang w:val="en-GB" w:eastAsia="ja-JP"/>
              </w:rPr>
              <w:t xml:space="preserve"> under RR No. </w:t>
            </w:r>
            <w:r w:rsidRPr="00F624F2">
              <w:rPr>
                <w:rFonts w:eastAsia="MS Mincho"/>
                <w:b/>
                <w:bCs/>
                <w:sz w:val="20"/>
                <w:szCs w:val="20"/>
                <w:lang w:val="en-GB"/>
              </w:rPr>
              <w:t>21.16</w:t>
            </w:r>
            <w:r w:rsidRPr="00F624F2">
              <w:rPr>
                <w:rFonts w:eastAsia="MS Mincho"/>
                <w:b/>
                <w:sz w:val="20"/>
                <w:szCs w:val="20"/>
                <w:lang w:val="en-GB" w:eastAsia="ja-JP"/>
              </w:rPr>
              <w:t xml:space="preserve"> </w:t>
            </w:r>
            <w:r w:rsidRPr="00F624F2">
              <w:rPr>
                <w:rFonts w:eastAsia="MS Mincho"/>
                <w:sz w:val="20"/>
                <w:szCs w:val="20"/>
                <w:lang w:val="en-GB" w:eastAsia="ja-JP"/>
              </w:rPr>
              <w:t>taking into account protection of IMT mobile stations.</w:t>
            </w:r>
          </w:p>
          <w:p w14:paraId="2AAEC689"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2</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sz w:val="20"/>
                <w:szCs w:val="20"/>
                <w:lang w:val="en-GB" w:eastAsia="ja-JP"/>
              </w:rPr>
              <w:t>21-4</w:t>
            </w:r>
            <w:r w:rsidRPr="00F624F2">
              <w:rPr>
                <w:rFonts w:eastAsia="MS Mincho"/>
                <w:sz w:val="20"/>
                <w:szCs w:val="20"/>
                <w:lang w:val="en-GB" w:eastAsia="ja-JP"/>
              </w:rPr>
              <w:t xml:space="preserve"> under RR No. </w:t>
            </w:r>
            <w:r w:rsidRPr="00F624F2">
              <w:rPr>
                <w:rFonts w:eastAsia="MS Mincho"/>
                <w:b/>
                <w:bCs/>
                <w:sz w:val="20"/>
                <w:szCs w:val="20"/>
                <w:lang w:val="en-GB"/>
              </w:rPr>
              <w:t>21.16</w:t>
            </w:r>
            <w:r w:rsidRPr="00F624F2">
              <w:rPr>
                <w:rFonts w:eastAsia="MS Mincho"/>
                <w:b/>
                <w:sz w:val="20"/>
                <w:szCs w:val="20"/>
                <w:lang w:val="en-GB" w:eastAsia="ja-JP"/>
              </w:rPr>
              <w:t xml:space="preserve"> </w:t>
            </w:r>
            <w:r w:rsidRPr="00F624F2">
              <w:rPr>
                <w:rFonts w:eastAsia="MS Mincho"/>
                <w:sz w:val="20"/>
                <w:szCs w:val="20"/>
                <w:lang w:val="en-GB" w:eastAsia="ja-JP"/>
              </w:rPr>
              <w:t>taking into account protection of IMT base and mobile stations.</w:t>
            </w:r>
          </w:p>
          <w:p w14:paraId="0E034EB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3</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a new footnote taking into account the operational requirement of BSS (sound) system.</w:t>
            </w:r>
          </w:p>
        </w:tc>
        <w:tc>
          <w:tcPr>
            <w:tcW w:w="4178" w:type="dxa"/>
          </w:tcPr>
          <w:p w14:paraId="2FEF66E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eastAsia="ja-JP"/>
              </w:rPr>
              <w:t xml:space="preserve">Stipulate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limit for IMT stations</w:t>
            </w:r>
            <w:r w:rsidRPr="00F624F2">
              <w:rPr>
                <w:rFonts w:eastAsia="MS Mincho"/>
                <w:sz w:val="20"/>
                <w:szCs w:val="20"/>
              </w:rPr>
              <w:t xml:space="preserve"> </w:t>
            </w:r>
            <w:r w:rsidRPr="00F624F2">
              <w:rPr>
                <w:rFonts w:eastAsia="MS Mincho"/>
                <w:sz w:val="20"/>
                <w:szCs w:val="20"/>
                <w:lang w:eastAsia="ja-JP"/>
              </w:rPr>
              <w:t xml:space="preserve">by modification of RR Nos. </w:t>
            </w:r>
            <w:r w:rsidRPr="00F624F2">
              <w:rPr>
                <w:rFonts w:eastAsia="MS Mincho"/>
                <w:b/>
                <w:bCs/>
                <w:sz w:val="20"/>
                <w:szCs w:val="20"/>
                <w:lang w:eastAsia="ja-JP"/>
              </w:rPr>
              <w:t>5.346</w:t>
            </w:r>
            <w:r w:rsidRPr="00F624F2">
              <w:rPr>
                <w:rFonts w:eastAsia="MS Mincho"/>
                <w:sz w:val="20"/>
                <w:szCs w:val="20"/>
                <w:lang w:eastAsia="ja-JP"/>
              </w:rPr>
              <w:t xml:space="preserve"> and </w:t>
            </w:r>
            <w:r w:rsidRPr="00F624F2">
              <w:rPr>
                <w:rFonts w:eastAsia="MS Mincho"/>
                <w:b/>
                <w:bCs/>
                <w:sz w:val="20"/>
                <w:szCs w:val="20"/>
                <w:lang w:eastAsia="ja-JP"/>
              </w:rPr>
              <w:t>5.346A</w:t>
            </w:r>
            <w:r w:rsidRPr="00F624F2">
              <w:rPr>
                <w:rFonts w:eastAsia="MS Mincho"/>
                <w:sz w:val="20"/>
                <w:szCs w:val="20"/>
                <w:lang w:eastAsia="ja-JP"/>
              </w:rPr>
              <w:t>.</w:t>
            </w:r>
          </w:p>
        </w:tc>
      </w:tr>
      <w:tr w:rsidR="005A1D07" w:rsidRPr="00F624F2" w14:paraId="395407E3" w14:textId="77777777" w:rsidTr="00C67952">
        <w:trPr>
          <w:jc w:val="center"/>
        </w:trPr>
        <w:tc>
          <w:tcPr>
            <w:tcW w:w="1560" w:type="dxa"/>
          </w:tcPr>
          <w:p w14:paraId="786FE736"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8</w:t>
            </w:r>
          </w:p>
        </w:tc>
        <w:tc>
          <w:tcPr>
            <w:tcW w:w="4536" w:type="dxa"/>
          </w:tcPr>
          <w:p w14:paraId="7805F8A0"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a new coordination threshold for RR No. </w:t>
            </w:r>
            <w:r w:rsidRPr="00F624F2">
              <w:rPr>
                <w:rFonts w:eastAsia="MS Mincho"/>
                <w:b/>
                <w:bCs/>
                <w:sz w:val="20"/>
                <w:szCs w:val="20"/>
                <w:lang w:val="en-GB"/>
              </w:rPr>
              <w:t>9.11</w:t>
            </w:r>
            <w:r w:rsidRPr="00F624F2">
              <w:rPr>
                <w:rFonts w:eastAsia="MS Mincho"/>
                <w:sz w:val="20"/>
                <w:szCs w:val="20"/>
                <w:lang w:val="en-GB" w:eastAsia="ja-JP"/>
              </w:rPr>
              <w:t xml:space="preserve"> based on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w:t>
            </w:r>
          </w:p>
          <w:p w14:paraId="182015A0"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 is stipulated in a new footnote taking into account the </w:t>
            </w:r>
            <w:proofErr w:type="spellStart"/>
            <w:r w:rsidRPr="00F624F2">
              <w:rPr>
                <w:rFonts w:eastAsia="MS Mincho"/>
                <w:sz w:val="20"/>
                <w:szCs w:val="20"/>
                <w:lang w:val="en-GB" w:eastAsia="ja-JP"/>
              </w:rPr>
              <w:t>e.i.r.p</w:t>
            </w:r>
            <w:proofErr w:type="spellEnd"/>
            <w:r w:rsidRPr="00F624F2">
              <w:rPr>
                <w:rFonts w:eastAsia="MS Mincho"/>
                <w:sz w:val="20"/>
                <w:szCs w:val="20"/>
                <w:lang w:val="en-GB" w:eastAsia="ja-JP"/>
              </w:rPr>
              <w:t xml:space="preserve">. value of 70.8 </w:t>
            </w:r>
            <w:proofErr w:type="spellStart"/>
            <w:r w:rsidRPr="00F624F2">
              <w:rPr>
                <w:rFonts w:eastAsia="MS Mincho"/>
                <w:sz w:val="20"/>
                <w:szCs w:val="20"/>
                <w:lang w:val="en-GB" w:eastAsia="ja-JP"/>
              </w:rPr>
              <w:t>dBW</w:t>
            </w:r>
            <w:proofErr w:type="spellEnd"/>
            <w:r w:rsidRPr="00F624F2">
              <w:rPr>
                <w:rFonts w:eastAsia="MS Mincho"/>
                <w:sz w:val="20"/>
                <w:szCs w:val="20"/>
                <w:lang w:val="en-GB" w:eastAsia="ja-JP"/>
              </w:rPr>
              <w:t xml:space="preserve"> for a space station of BSS (sound).</w:t>
            </w:r>
          </w:p>
        </w:tc>
        <w:tc>
          <w:tcPr>
            <w:tcW w:w="4178" w:type="dxa"/>
          </w:tcPr>
          <w:p w14:paraId="21EA6C93" w14:textId="77777777" w:rsidR="005A1D07" w:rsidRPr="00F624F2" w:rsidRDefault="005A1D07" w:rsidP="00C6795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eastAsia="ja-JP"/>
              </w:rPr>
            </w:pPr>
            <w:r w:rsidRPr="00F624F2">
              <w:rPr>
                <w:rFonts w:eastAsia="MS Mincho"/>
                <w:sz w:val="20"/>
                <w:szCs w:val="20"/>
                <w:lang w:eastAsia="ja-JP"/>
              </w:rPr>
              <w:t xml:space="preserve">Stipulate a new coordination threshold for RR No. </w:t>
            </w:r>
            <w:r w:rsidRPr="00F624F2">
              <w:rPr>
                <w:rFonts w:eastAsia="MS Mincho"/>
                <w:b/>
                <w:sz w:val="20"/>
                <w:szCs w:val="20"/>
                <w:lang w:eastAsia="ja-JP"/>
              </w:rPr>
              <w:t>9.19</w:t>
            </w:r>
            <w:r w:rsidRPr="00F624F2">
              <w:rPr>
                <w:rFonts w:eastAsia="MS Mincho"/>
                <w:sz w:val="20"/>
                <w:szCs w:val="20"/>
                <w:lang w:eastAsia="ja-JP"/>
              </w:rPr>
              <w:t xml:space="preserve"> based on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value to reach coexistence for protection of BSS (sound) receivers.</w:t>
            </w:r>
          </w:p>
        </w:tc>
      </w:tr>
    </w:tbl>
    <w:p w14:paraId="67BF6A0D" w14:textId="77777777" w:rsidR="005A1D07" w:rsidRPr="00F624F2" w:rsidRDefault="005A1D07" w:rsidP="005A1D07">
      <w:pPr>
        <w:jc w:val="both"/>
        <w:rPr>
          <w:b/>
          <w:lang w:val="en-GB" w:eastAsia="ko-KR"/>
        </w:rPr>
      </w:pPr>
    </w:p>
    <w:p w14:paraId="5C7A4C19" w14:textId="77777777" w:rsidR="002A0111" w:rsidRPr="00967BA8" w:rsidRDefault="002A0111" w:rsidP="002A0111">
      <w:pPr>
        <w:jc w:val="both"/>
        <w:rPr>
          <w:lang w:val="en-NZ" w:eastAsia="ko-KR"/>
        </w:rPr>
      </w:pPr>
    </w:p>
    <w:p w14:paraId="5AC63119" w14:textId="77777777" w:rsidR="002A0111" w:rsidRPr="00967BA8" w:rsidRDefault="002A0111" w:rsidP="002A0111">
      <w:pPr>
        <w:spacing w:after="120"/>
        <w:jc w:val="both"/>
        <w:rPr>
          <w:b/>
          <w:lang w:val="en-NZ" w:eastAsia="ko-KR"/>
        </w:rPr>
      </w:pPr>
      <w:r w:rsidRPr="00967BA8">
        <w:rPr>
          <w:b/>
          <w:lang w:val="en-NZ" w:eastAsia="ko-KR"/>
        </w:rPr>
        <w:t xml:space="preserve">2. </w:t>
      </w:r>
      <w:r w:rsidRPr="00967BA8">
        <w:rPr>
          <w:b/>
          <w:lang w:val="en-NZ" w:eastAsia="ko-KR"/>
        </w:rPr>
        <w:tab/>
        <w:t>Documents</w:t>
      </w:r>
    </w:p>
    <w:p w14:paraId="1042CBA7" w14:textId="116C9667" w:rsidR="009374C0" w:rsidRPr="005A1D07" w:rsidRDefault="005A1D07" w:rsidP="005A1D07">
      <w:pPr>
        <w:numPr>
          <w:ilvl w:val="0"/>
          <w:numId w:val="18"/>
        </w:numPr>
        <w:ind w:leftChars="145" w:left="708"/>
        <w:jc w:val="both"/>
        <w:rPr>
          <w:lang w:val="en-NZ"/>
        </w:rPr>
      </w:pPr>
      <w:r>
        <w:rPr>
          <w:lang w:val="en-NZ"/>
        </w:rPr>
        <w:t>I</w:t>
      </w:r>
      <w:r w:rsidR="002A0111" w:rsidRPr="005A1D07">
        <w:rPr>
          <w:lang w:val="en-NZ"/>
        </w:rPr>
        <w:t xml:space="preserve">nput Documents </w:t>
      </w:r>
      <w:r w:rsidR="009374C0" w:rsidRPr="005A1D07">
        <w:rPr>
          <w:rFonts w:hint="eastAsia"/>
          <w:lang w:val="en-NZ"/>
        </w:rPr>
        <w:t xml:space="preserve">: </w:t>
      </w:r>
      <w:r w:rsidRPr="005A1D07">
        <w:rPr>
          <w:lang w:val="en-NZ"/>
        </w:rPr>
        <w:t>APG19-4/INP-17(AUS), 24(NZL), 31(THA), 39(VTN), 61(JPN),      77(KOR), 98(CHN), 110(BGD)</w:t>
      </w:r>
    </w:p>
    <w:p w14:paraId="3D63DA79" w14:textId="718016F0" w:rsidR="005206E9" w:rsidRPr="005A1D07" w:rsidRDefault="002A0111" w:rsidP="00C67952">
      <w:pPr>
        <w:numPr>
          <w:ilvl w:val="0"/>
          <w:numId w:val="18"/>
        </w:numPr>
        <w:ind w:leftChars="145" w:left="708"/>
        <w:jc w:val="both"/>
        <w:rPr>
          <w:b/>
          <w:lang w:val="en-NZ" w:eastAsia="ko-KR"/>
        </w:rPr>
      </w:pPr>
      <w:r w:rsidRPr="005A1D07">
        <w:rPr>
          <w:lang w:val="en-NZ"/>
        </w:rPr>
        <w:t xml:space="preserve">Information Documents </w:t>
      </w:r>
      <w:r w:rsidR="009374C0" w:rsidRPr="005A1D07">
        <w:rPr>
          <w:rFonts w:hint="eastAsia"/>
          <w:lang w:val="en-NZ" w:eastAsia="ko-KR"/>
        </w:rPr>
        <w:t xml:space="preserve">: </w:t>
      </w:r>
      <w:r w:rsidR="005A1D07">
        <w:rPr>
          <w:rFonts w:hint="eastAsia"/>
          <w:lang w:eastAsia="ja-JP"/>
        </w:rPr>
        <w:t>APG19-</w:t>
      </w:r>
      <w:r w:rsidR="005A1D07">
        <w:rPr>
          <w:rFonts w:eastAsia="Malgun Gothic" w:hint="eastAsia"/>
          <w:lang w:eastAsia="ko-KR"/>
        </w:rPr>
        <w:t>4</w:t>
      </w:r>
      <w:r w:rsidR="005A1D07">
        <w:rPr>
          <w:rFonts w:hint="eastAsia"/>
          <w:lang w:eastAsia="ja-JP"/>
        </w:rPr>
        <w:t>/INF</w:t>
      </w:r>
      <w:r w:rsidR="005A1D07" w:rsidRPr="00950CDC">
        <w:rPr>
          <w:rFonts w:eastAsia="Malgun Gothic" w:hint="eastAsia"/>
          <w:lang w:eastAsia="ko-KR"/>
        </w:rPr>
        <w:t>-</w:t>
      </w:r>
      <w:r w:rsidR="005A1D07" w:rsidRPr="006A3AEA">
        <w:rPr>
          <w:rFonts w:eastAsia="Malgun Gothic" w:hint="eastAsia"/>
          <w:lang w:eastAsia="ja-JP"/>
        </w:rPr>
        <w:t>22</w:t>
      </w:r>
      <w:r w:rsidR="005A1D07">
        <w:rPr>
          <w:rFonts w:eastAsia="Malgun Gothic"/>
          <w:lang w:eastAsia="ja-JP"/>
        </w:rPr>
        <w:t>(</w:t>
      </w:r>
      <w:r w:rsidR="005A1D07">
        <w:rPr>
          <w:rFonts w:eastAsia="Malgun Gothic" w:hint="eastAsia"/>
          <w:lang w:eastAsia="ko-KR"/>
        </w:rPr>
        <w:t>CITEL)</w:t>
      </w:r>
      <w:r w:rsidR="005A1D07" w:rsidRPr="006A3AEA">
        <w:rPr>
          <w:rFonts w:eastAsia="Malgun Gothic" w:hint="eastAsia"/>
          <w:lang w:eastAsia="ja-JP"/>
        </w:rPr>
        <w:t>,</w:t>
      </w:r>
      <w:r w:rsidR="005A1D07" w:rsidRPr="006A3AEA">
        <w:rPr>
          <w:rFonts w:eastAsia="Malgun Gothic"/>
          <w:lang w:eastAsia="ja-JP"/>
        </w:rPr>
        <w:t xml:space="preserve"> </w:t>
      </w:r>
      <w:r w:rsidR="005A1D07" w:rsidRPr="006A3AEA">
        <w:rPr>
          <w:rFonts w:eastAsia="Malgun Gothic" w:hint="eastAsia"/>
          <w:lang w:eastAsia="ja-JP"/>
        </w:rPr>
        <w:t>23</w:t>
      </w:r>
      <w:r w:rsidR="005A1D07">
        <w:rPr>
          <w:rFonts w:eastAsia="Malgun Gothic"/>
          <w:lang w:eastAsia="ja-JP"/>
        </w:rPr>
        <w:t>(CEPT)</w:t>
      </w:r>
      <w:r w:rsidR="005A1D07" w:rsidRPr="006A3AEA">
        <w:rPr>
          <w:rFonts w:eastAsia="Malgun Gothic" w:hint="eastAsia"/>
          <w:lang w:eastAsia="ja-JP"/>
        </w:rPr>
        <w:t>,</w:t>
      </w:r>
      <w:r w:rsidR="005A1D07" w:rsidRPr="006A3AEA">
        <w:rPr>
          <w:rFonts w:eastAsia="Malgun Gothic"/>
          <w:lang w:eastAsia="ja-JP"/>
        </w:rPr>
        <w:t xml:space="preserve"> 24</w:t>
      </w:r>
      <w:r w:rsidR="005A1D07">
        <w:rPr>
          <w:rFonts w:eastAsia="Malgun Gothic"/>
          <w:lang w:eastAsia="ja-JP"/>
        </w:rPr>
        <w:t>(RCC)</w:t>
      </w:r>
      <w:r w:rsidR="005A1D07" w:rsidRPr="006A3AEA">
        <w:rPr>
          <w:rFonts w:eastAsia="Malgun Gothic"/>
          <w:lang w:eastAsia="ja-JP"/>
        </w:rPr>
        <w:t>, 27</w:t>
      </w:r>
      <w:r w:rsidR="005A1D07">
        <w:rPr>
          <w:rFonts w:eastAsia="Malgun Gothic"/>
          <w:lang w:eastAsia="ja-JP"/>
        </w:rPr>
        <w:t>(NPL)</w:t>
      </w:r>
    </w:p>
    <w:p w14:paraId="59FCD698" w14:textId="77777777" w:rsidR="005A1D07" w:rsidRPr="005A1D07" w:rsidRDefault="005A1D07" w:rsidP="005A1D07">
      <w:pPr>
        <w:jc w:val="both"/>
        <w:rPr>
          <w:b/>
          <w:lang w:val="en-NZ" w:eastAsia="ko-KR"/>
        </w:rPr>
      </w:pPr>
    </w:p>
    <w:p w14:paraId="27E54C89" w14:textId="04835516" w:rsidR="002A0111" w:rsidRPr="00441526" w:rsidRDefault="002A0111" w:rsidP="005A13E6">
      <w:pPr>
        <w:spacing w:after="120"/>
        <w:rPr>
          <w:b/>
          <w:lang w:val="en-NZ" w:eastAsia="ko-KR"/>
        </w:rPr>
      </w:pPr>
      <w:r w:rsidRPr="00441526">
        <w:rPr>
          <w:b/>
          <w:lang w:val="en-NZ" w:eastAsia="ko-KR"/>
        </w:rPr>
        <w:t xml:space="preserve">3. </w:t>
      </w:r>
      <w:r w:rsidRPr="00441526">
        <w:rPr>
          <w:b/>
          <w:lang w:val="en-NZ" w:eastAsia="ko-KR"/>
        </w:rPr>
        <w:tab/>
        <w:t>Summary of discussions</w:t>
      </w:r>
    </w:p>
    <w:p w14:paraId="1F697758" w14:textId="6516FDA8" w:rsidR="002A0111" w:rsidRPr="005A13E6" w:rsidRDefault="002A0111" w:rsidP="005A13E6">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043FE7E6"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7E6162">
        <w:rPr>
          <w:b/>
          <w:lang w:val="en-NZ" w:eastAsia="ko-KR"/>
        </w:rPr>
        <w:t>Australia</w:t>
      </w:r>
      <w:r w:rsidRPr="00441526">
        <w:rPr>
          <w:b/>
          <w:lang w:val="en-NZ" w:eastAsia="ko-KR"/>
        </w:rPr>
        <w:t xml:space="preserve"> </w:t>
      </w:r>
      <w:r w:rsidRPr="00441526">
        <w:t xml:space="preserve">- </w:t>
      </w:r>
      <w:r w:rsidR="005A1D07">
        <w:rPr>
          <w:b/>
          <w:lang w:val="en-NZ" w:eastAsia="ko-KR"/>
        </w:rPr>
        <w:t>Document APG19-4/</w:t>
      </w:r>
      <w:r w:rsidRPr="00441526">
        <w:rPr>
          <w:b/>
          <w:lang w:val="en-NZ" w:eastAsia="ko-KR"/>
        </w:rPr>
        <w:t>INP-</w:t>
      </w:r>
      <w:r w:rsidR="005A1D07">
        <w:rPr>
          <w:b/>
          <w:lang w:val="en-NZ" w:eastAsia="ko-KR"/>
        </w:rPr>
        <w:t>17</w:t>
      </w:r>
    </w:p>
    <w:p w14:paraId="560D4981" w14:textId="77777777" w:rsidR="005A1D07" w:rsidRDefault="005A1D07" w:rsidP="005A1D07">
      <w:pPr>
        <w:rPr>
          <w:lang w:val="en-AU"/>
        </w:rPr>
      </w:pPr>
      <w:r w:rsidRPr="00094867">
        <w:rPr>
          <w:lang w:val="en-AU"/>
        </w:rPr>
        <w:t xml:space="preserve">Australia will monitor debate on this agenda item. The 1 452-1 492 MHz frequency band was globally identified by WRC-15 for use by administrations wishing to implement International Mobile Telecommunications in accordance with Resolution </w:t>
      </w:r>
      <w:r w:rsidRPr="00094867">
        <w:rPr>
          <w:b/>
          <w:lang w:val="en-AU"/>
        </w:rPr>
        <w:t>223 (Rev. WRC-15)</w:t>
      </w:r>
      <w:r w:rsidRPr="00094867">
        <w:rPr>
          <w:lang w:val="en-AU"/>
        </w:rPr>
        <w:t>.</w:t>
      </w:r>
      <w:r w:rsidRPr="00094867">
        <w:rPr>
          <w:lang w:val="en-AU"/>
        </w:rPr>
        <w:tab/>
      </w:r>
    </w:p>
    <w:p w14:paraId="56C9C516" w14:textId="77777777" w:rsidR="005A1D07" w:rsidRPr="00094867" w:rsidRDefault="005A1D07" w:rsidP="005A1D07">
      <w:pPr>
        <w:rPr>
          <w:lang w:val="en-AU"/>
        </w:rPr>
      </w:pPr>
    </w:p>
    <w:p w14:paraId="159AB410" w14:textId="77777777" w:rsidR="005A1D07" w:rsidRPr="00094867" w:rsidRDefault="005A1D07" w:rsidP="005A1D07">
      <w:pPr>
        <w:rPr>
          <w:lang w:val="en-AU"/>
        </w:rPr>
      </w:pPr>
      <w:r w:rsidRPr="00094867">
        <w:rPr>
          <w:lang w:val="en-AU"/>
        </w:rPr>
        <w:t>Australia supports the APT Preliminary view on this Issue from APG19-3.</w:t>
      </w:r>
    </w:p>
    <w:p w14:paraId="1F4B0140" w14:textId="77777777" w:rsidR="002A0111" w:rsidRPr="005A1D07" w:rsidRDefault="002A0111" w:rsidP="00A53B60">
      <w:pPr>
        <w:adjustRightInd w:val="0"/>
        <w:snapToGrid w:val="0"/>
        <w:spacing w:after="120"/>
        <w:jc w:val="both"/>
        <w:rPr>
          <w:lang w:val="en-AU"/>
        </w:rPr>
      </w:pPr>
    </w:p>
    <w:p w14:paraId="1B7BB750" w14:textId="0EAE1872" w:rsidR="002A0111" w:rsidRPr="00441526" w:rsidRDefault="002A0111" w:rsidP="00A53B60">
      <w:pPr>
        <w:adjustRightInd w:val="0"/>
        <w:snapToGrid w:val="0"/>
        <w:spacing w:after="120"/>
        <w:jc w:val="both"/>
        <w:rPr>
          <w:b/>
          <w:lang w:val="en-NZ" w:eastAsia="ko-KR"/>
        </w:rPr>
      </w:pPr>
      <w:r w:rsidRPr="00441526">
        <w:rPr>
          <w:b/>
          <w:lang w:val="en-NZ" w:eastAsia="ko-KR"/>
        </w:rPr>
        <w:t xml:space="preserve">3.1.2 </w:t>
      </w:r>
      <w:r w:rsidRPr="00441526">
        <w:rPr>
          <w:b/>
          <w:lang w:val="en-NZ" w:eastAsia="ko-KR"/>
        </w:rPr>
        <w:tab/>
      </w:r>
      <w:r w:rsidR="009374C0">
        <w:rPr>
          <w:rFonts w:hint="eastAsia"/>
          <w:b/>
          <w:lang w:val="en-NZ" w:eastAsia="ko-KR"/>
        </w:rPr>
        <w:t xml:space="preserve">New </w:t>
      </w:r>
      <w:r w:rsidR="009374C0">
        <w:rPr>
          <w:b/>
          <w:lang w:val="en-NZ" w:eastAsia="ko-KR"/>
        </w:rPr>
        <w:t>Zealand</w:t>
      </w:r>
      <w:r w:rsidRPr="00441526">
        <w:rPr>
          <w:b/>
          <w:lang w:val="en-NZ" w:eastAsia="ko-KR"/>
        </w:rPr>
        <w:t xml:space="preserve"> </w:t>
      </w:r>
      <w:r w:rsidRPr="00441526">
        <w:t xml:space="preserve">- </w:t>
      </w:r>
      <w:r w:rsidR="005A1D07">
        <w:rPr>
          <w:b/>
          <w:lang w:val="en-NZ" w:eastAsia="ko-KR"/>
        </w:rPr>
        <w:t>Document APG19-4</w:t>
      </w:r>
      <w:r w:rsidR="009374C0">
        <w:rPr>
          <w:b/>
          <w:lang w:val="en-NZ" w:eastAsia="ko-KR"/>
        </w:rPr>
        <w:t>/INP-</w:t>
      </w:r>
      <w:r w:rsidR="005A1D07">
        <w:rPr>
          <w:rFonts w:hint="eastAsia"/>
          <w:b/>
          <w:lang w:val="en-NZ" w:eastAsia="ko-KR"/>
        </w:rPr>
        <w:t>24</w:t>
      </w:r>
    </w:p>
    <w:p w14:paraId="49024EDF" w14:textId="77777777" w:rsidR="005A1D07" w:rsidRPr="000F100D" w:rsidRDefault="005A1D07" w:rsidP="005A1D07">
      <w:pPr>
        <w:tabs>
          <w:tab w:val="left" w:pos="600"/>
        </w:tabs>
        <w:jc w:val="both"/>
        <w:rPr>
          <w:lang w:val="en-NZ"/>
        </w:rPr>
      </w:pPr>
      <w:r w:rsidRPr="00F83A3C">
        <w:rPr>
          <w:lang w:val="en-NZ"/>
        </w:rPr>
        <w:lastRenderedPageBreak/>
        <w:t xml:space="preserve">New Zealand supports </w:t>
      </w:r>
      <w:r w:rsidRPr="00EB1715">
        <w:rPr>
          <w:lang w:val="en-NZ"/>
        </w:rPr>
        <w:t>no change to the Radio Regulations.</w:t>
      </w:r>
    </w:p>
    <w:p w14:paraId="13BB992D" w14:textId="513EB44F" w:rsidR="002A0111" w:rsidRPr="005A1D07" w:rsidRDefault="002A0111" w:rsidP="00A53B60">
      <w:pPr>
        <w:adjustRightInd w:val="0"/>
        <w:snapToGrid w:val="0"/>
        <w:spacing w:after="120"/>
        <w:jc w:val="both"/>
        <w:rPr>
          <w:lang w:val="en-NZ" w:eastAsia="ko-KR"/>
        </w:rPr>
      </w:pPr>
    </w:p>
    <w:p w14:paraId="0951D878" w14:textId="18B602FF" w:rsidR="00070331" w:rsidRPr="00784AC0" w:rsidRDefault="009374C0" w:rsidP="00784AC0">
      <w:pPr>
        <w:adjustRightInd w:val="0"/>
        <w:snapToGrid w:val="0"/>
        <w:spacing w:after="120"/>
        <w:jc w:val="both"/>
        <w:rPr>
          <w:b/>
          <w:lang w:val="en-NZ" w:eastAsia="ko-KR"/>
        </w:rPr>
      </w:pPr>
      <w:r>
        <w:rPr>
          <w:b/>
          <w:lang w:val="en-NZ" w:eastAsia="ko-KR"/>
        </w:rPr>
        <w:t>3.1.</w:t>
      </w:r>
      <w:r>
        <w:rPr>
          <w:rFonts w:hint="eastAsia"/>
          <w:b/>
          <w:lang w:val="en-NZ" w:eastAsia="ko-KR"/>
        </w:rPr>
        <w:t xml:space="preserve">3 </w:t>
      </w:r>
      <w:r w:rsidR="002A0111" w:rsidRPr="00441526">
        <w:rPr>
          <w:b/>
          <w:lang w:val="en-NZ" w:eastAsia="ko-KR"/>
        </w:rPr>
        <w:tab/>
      </w:r>
      <w:r w:rsidR="005A1D07">
        <w:rPr>
          <w:b/>
          <w:lang w:val="en-NZ" w:eastAsia="ko-KR"/>
        </w:rPr>
        <w:t xml:space="preserve">Thailand </w:t>
      </w:r>
      <w:r w:rsidR="002A0111" w:rsidRPr="00441526">
        <w:t xml:space="preserve">- </w:t>
      </w:r>
      <w:r w:rsidR="005A1D07">
        <w:rPr>
          <w:b/>
          <w:lang w:val="en-NZ" w:eastAsia="ko-KR"/>
        </w:rPr>
        <w:t>Document APG19-4</w:t>
      </w:r>
      <w:r>
        <w:rPr>
          <w:b/>
          <w:lang w:val="en-NZ" w:eastAsia="ko-KR"/>
        </w:rPr>
        <w:t>/INP-</w:t>
      </w:r>
      <w:r w:rsidR="005A1D07">
        <w:rPr>
          <w:rFonts w:hint="eastAsia"/>
          <w:b/>
          <w:lang w:val="en-NZ" w:eastAsia="ko-KR"/>
        </w:rPr>
        <w:t>31</w:t>
      </w:r>
    </w:p>
    <w:p w14:paraId="19D5212C" w14:textId="77777777" w:rsidR="005A1D07" w:rsidRPr="00F62489" w:rsidRDefault="005A1D07" w:rsidP="005A1D07">
      <w:pPr>
        <w:shd w:val="clear" w:color="auto" w:fill="FFFFFF"/>
        <w:spacing w:after="120"/>
        <w:jc w:val="both"/>
        <w:rPr>
          <w:bCs/>
          <w:color w:val="000000"/>
        </w:rPr>
      </w:pPr>
      <w:r w:rsidRPr="005D196C">
        <w:rPr>
          <w:rFonts w:cs="Cordia New"/>
          <w:bCs/>
          <w:szCs w:val="30"/>
          <w:lang w:bidi="th-TH"/>
        </w:rPr>
        <w:t xml:space="preserve">Since the frequency band 1 452 – 1 492 MHz in Thailand  is part of the frequency band that has been already identified for terrestrial IMT, Thailand is of the view that technical and operational measures is required to safeguard terrestrial IMT operating in the band </w:t>
      </w:r>
      <w:r>
        <w:rPr>
          <w:rFonts w:cs="Cordia New"/>
          <w:bCs/>
          <w:szCs w:val="30"/>
          <w:lang w:bidi="th-TH"/>
        </w:rPr>
        <w:br/>
      </w:r>
      <w:r w:rsidRPr="005D196C">
        <w:rPr>
          <w:rFonts w:cs="Cordia New"/>
          <w:bCs/>
          <w:szCs w:val="30"/>
          <w:lang w:bidi="th-TH"/>
        </w:rPr>
        <w:t>1 452 – 1 492 MHz</w:t>
      </w:r>
      <w:r>
        <w:rPr>
          <w:rFonts w:cs="Cordia New"/>
          <w:bCs/>
          <w:szCs w:val="30"/>
          <w:lang w:bidi="th-TH"/>
        </w:rPr>
        <w:t xml:space="preserve"> </w:t>
      </w:r>
      <w:r w:rsidRPr="005D196C">
        <w:rPr>
          <w:rFonts w:cs="Cordia New"/>
          <w:bCs/>
          <w:szCs w:val="30"/>
          <w:lang w:bidi="th-TH"/>
        </w:rPr>
        <w:t>as needed</w:t>
      </w:r>
    </w:p>
    <w:p w14:paraId="6B29448F" w14:textId="77777777" w:rsidR="00784AC0" w:rsidRPr="005A1D07" w:rsidRDefault="00784AC0" w:rsidP="00A53B60">
      <w:pPr>
        <w:adjustRightInd w:val="0"/>
        <w:snapToGrid w:val="0"/>
        <w:spacing w:after="120"/>
        <w:rPr>
          <w:rFonts w:eastAsia="Malgun Gothic"/>
          <w:sz w:val="28"/>
          <w:lang w:eastAsia="ko-KR"/>
        </w:rPr>
      </w:pPr>
    </w:p>
    <w:p w14:paraId="0430B3D0" w14:textId="6C9729D9" w:rsidR="009374C0" w:rsidRPr="00441526" w:rsidRDefault="009374C0" w:rsidP="00A53B60">
      <w:pPr>
        <w:adjustRightInd w:val="0"/>
        <w:snapToGrid w:val="0"/>
        <w:spacing w:after="120"/>
        <w:jc w:val="both"/>
        <w:rPr>
          <w:b/>
          <w:lang w:val="en-NZ" w:eastAsia="ko-KR"/>
        </w:rPr>
      </w:pPr>
      <w:r>
        <w:rPr>
          <w:b/>
          <w:lang w:val="en-NZ" w:eastAsia="ko-KR"/>
        </w:rPr>
        <w:t>3.1.</w:t>
      </w:r>
      <w:r>
        <w:rPr>
          <w:rFonts w:hint="eastAsia"/>
          <w:b/>
          <w:lang w:val="en-NZ" w:eastAsia="ko-KR"/>
        </w:rPr>
        <w:t xml:space="preserve">4 </w:t>
      </w:r>
      <w:r w:rsidRPr="00441526">
        <w:rPr>
          <w:b/>
          <w:lang w:val="en-NZ" w:eastAsia="ko-KR"/>
        </w:rPr>
        <w:tab/>
      </w:r>
      <w:r w:rsidR="007E6162">
        <w:rPr>
          <w:b/>
          <w:lang w:val="en-NZ" w:eastAsia="ko-KR"/>
        </w:rPr>
        <w:t>Viet Nam</w:t>
      </w:r>
      <w:r w:rsidR="00B14905">
        <w:rPr>
          <w:b/>
          <w:lang w:val="en-NZ" w:eastAsia="ko-KR"/>
        </w:rPr>
        <w:t xml:space="preserve"> -</w:t>
      </w:r>
      <w:r>
        <w:rPr>
          <w:rFonts w:hint="eastAsia"/>
          <w:b/>
          <w:lang w:val="en-NZ" w:eastAsia="ko-KR"/>
        </w:rPr>
        <w:t xml:space="preserve"> D</w:t>
      </w:r>
      <w:r w:rsidR="007E6162">
        <w:rPr>
          <w:b/>
          <w:lang w:val="en-NZ" w:eastAsia="ko-KR"/>
        </w:rPr>
        <w:t>ocument APG19-4</w:t>
      </w:r>
      <w:r>
        <w:rPr>
          <w:b/>
          <w:lang w:val="en-NZ" w:eastAsia="ko-KR"/>
        </w:rPr>
        <w:t>/INP-</w:t>
      </w:r>
      <w:r w:rsidR="007E6162">
        <w:rPr>
          <w:rFonts w:hint="eastAsia"/>
          <w:b/>
          <w:lang w:val="en-NZ" w:eastAsia="ko-KR"/>
        </w:rPr>
        <w:t>39</w:t>
      </w:r>
    </w:p>
    <w:p w14:paraId="0BC587BB" w14:textId="7FD93A7C" w:rsidR="007E6162" w:rsidRPr="005E3A0A" w:rsidRDefault="007E6162" w:rsidP="005E3A0A">
      <w:pPr>
        <w:spacing w:after="108"/>
        <w:ind w:right="49"/>
        <w:jc w:val="both"/>
        <w:rPr>
          <w:rFonts w:eastAsiaTheme="minorHAnsi"/>
        </w:rPr>
      </w:pPr>
      <w:r>
        <w:t>Viet Nam is of the view that</w:t>
      </w:r>
      <w:r w:rsidR="00C013F2">
        <w:t xml:space="preserve"> </w:t>
      </w:r>
      <w:r w:rsidR="00C013F2">
        <w:rPr>
          <w:rFonts w:eastAsiaTheme="minorHAnsi"/>
        </w:rPr>
        <w:t>s</w:t>
      </w:r>
      <w:r w:rsidRPr="00C013F2">
        <w:rPr>
          <w:rFonts w:eastAsiaTheme="minorHAnsi"/>
        </w:rPr>
        <w:t xml:space="preserve">upport </w:t>
      </w:r>
      <w:r w:rsidR="00C013F2">
        <w:t>p</w:t>
      </w:r>
      <w:r w:rsidRPr="00980A6B">
        <w:t xml:space="preserve">ossible action </w:t>
      </w:r>
      <w:r w:rsidR="00EF6C13">
        <w:t>3</w:t>
      </w:r>
      <w:r w:rsidR="00EE4620">
        <w:t>.</w:t>
      </w:r>
    </w:p>
    <w:p w14:paraId="32F7F9D1" w14:textId="77777777" w:rsidR="002A0111" w:rsidRPr="007E6162" w:rsidRDefault="002A0111" w:rsidP="00A53B60">
      <w:pPr>
        <w:adjustRightInd w:val="0"/>
        <w:snapToGrid w:val="0"/>
        <w:spacing w:after="120"/>
        <w:rPr>
          <w:lang w:eastAsia="ko-KR"/>
        </w:rPr>
      </w:pPr>
    </w:p>
    <w:p w14:paraId="5DF510AE" w14:textId="76BF007E" w:rsidR="00B14905" w:rsidRPr="00441526" w:rsidRDefault="00B14905" w:rsidP="00A53B60">
      <w:pPr>
        <w:adjustRightInd w:val="0"/>
        <w:snapToGrid w:val="0"/>
        <w:spacing w:after="120"/>
        <w:jc w:val="both"/>
        <w:rPr>
          <w:b/>
          <w:lang w:val="en-NZ" w:eastAsia="ko-KR"/>
        </w:rPr>
      </w:pPr>
      <w:r>
        <w:rPr>
          <w:b/>
          <w:lang w:val="en-NZ" w:eastAsia="ko-KR"/>
        </w:rPr>
        <w:t>3.1.</w:t>
      </w:r>
      <w:r>
        <w:rPr>
          <w:rFonts w:hint="eastAsia"/>
          <w:b/>
          <w:lang w:val="en-NZ" w:eastAsia="ko-KR"/>
        </w:rPr>
        <w:t xml:space="preserve">5 </w:t>
      </w:r>
      <w:r w:rsidRPr="00441526">
        <w:rPr>
          <w:b/>
          <w:lang w:val="en-NZ" w:eastAsia="ko-KR"/>
        </w:rPr>
        <w:tab/>
      </w:r>
      <w:r w:rsidR="007E6162">
        <w:rPr>
          <w:rFonts w:hint="eastAsia"/>
          <w:b/>
          <w:lang w:val="en-NZ" w:eastAsia="ko-KR"/>
        </w:rPr>
        <w:t>Japan</w:t>
      </w:r>
      <w:r>
        <w:rPr>
          <w:rFonts w:hint="eastAsia"/>
          <w:b/>
          <w:lang w:val="en-NZ" w:eastAsia="ko-KR"/>
        </w:rPr>
        <w:t xml:space="preserve"> - D</w:t>
      </w:r>
      <w:r w:rsidR="007E6162">
        <w:rPr>
          <w:b/>
          <w:lang w:val="en-NZ" w:eastAsia="ko-KR"/>
        </w:rPr>
        <w:t>ocument APG19-4</w:t>
      </w:r>
      <w:r>
        <w:rPr>
          <w:b/>
          <w:lang w:val="en-NZ" w:eastAsia="ko-KR"/>
        </w:rPr>
        <w:t>/INP-</w:t>
      </w:r>
      <w:r w:rsidR="007E6162">
        <w:rPr>
          <w:rFonts w:hint="eastAsia"/>
          <w:b/>
          <w:lang w:val="en-NZ" w:eastAsia="ko-KR"/>
        </w:rPr>
        <w:t>61</w:t>
      </w:r>
    </w:p>
    <w:p w14:paraId="2827EEC7" w14:textId="0FA89B92" w:rsidR="007E6162" w:rsidRPr="00305238" w:rsidRDefault="007E6162" w:rsidP="00305238">
      <w:pPr>
        <w:spacing w:after="120"/>
        <w:rPr>
          <w:lang w:val="en-GB" w:eastAsia="ko-KR"/>
        </w:rPr>
      </w:pPr>
      <w:r w:rsidRPr="00305238">
        <w:rPr>
          <w:rFonts w:hint="eastAsia"/>
          <w:lang w:val="en-GB" w:eastAsia="ko-KR"/>
        </w:rPr>
        <w:t>Japan</w:t>
      </w:r>
      <w:r w:rsidRPr="00305238">
        <w:rPr>
          <w:lang w:val="en-GB" w:eastAsia="ko-KR"/>
        </w:rPr>
        <w:t xml:space="preserve"> supports </w:t>
      </w:r>
      <w:r w:rsidRPr="00305238">
        <w:rPr>
          <w:rFonts w:hint="eastAsia"/>
          <w:lang w:val="en-GB" w:eastAsia="ko-KR"/>
        </w:rPr>
        <w:t xml:space="preserve">the </w:t>
      </w:r>
      <w:r w:rsidRPr="00305238">
        <w:rPr>
          <w:lang w:val="en-GB" w:eastAsia="ko-KR"/>
        </w:rPr>
        <w:t>results of regulatory and technical studies</w:t>
      </w:r>
      <w:r w:rsidRPr="00305238">
        <w:rPr>
          <w:rFonts w:hint="eastAsia"/>
          <w:lang w:val="en-GB" w:eastAsia="ko-KR"/>
        </w:rPr>
        <w:t xml:space="preserve"> </w:t>
      </w:r>
      <w:r w:rsidRPr="00305238">
        <w:rPr>
          <w:lang w:val="en-GB" w:eastAsia="ko-KR"/>
        </w:rPr>
        <w:t>conducted</w:t>
      </w:r>
      <w:r w:rsidRPr="00305238">
        <w:rPr>
          <w:rFonts w:hint="eastAsia"/>
          <w:lang w:val="en-GB" w:eastAsia="ko-KR"/>
        </w:rPr>
        <w:t xml:space="preserve"> by ITU-R in order to achieve</w:t>
      </w:r>
      <w:r w:rsidRPr="00305238">
        <w:rPr>
          <w:lang w:val="en-GB" w:eastAsia="ko-KR"/>
        </w:rPr>
        <w:t xml:space="preserve"> compatibility of IMT and BSS (sound) in the frequency band 1 452</w:t>
      </w:r>
      <w:r w:rsidRPr="00305238">
        <w:rPr>
          <w:rFonts w:hint="eastAsia"/>
          <w:lang w:val="en-GB" w:eastAsia="ko-KR"/>
        </w:rPr>
        <w:t>-</w:t>
      </w:r>
      <w:r w:rsidRPr="00305238">
        <w:rPr>
          <w:lang w:val="en-GB" w:eastAsia="ko-KR"/>
        </w:rPr>
        <w:t>1 492 MHz in Regions 1 and 3</w:t>
      </w:r>
      <w:r w:rsidRPr="00305238">
        <w:rPr>
          <w:rFonts w:hint="eastAsia"/>
          <w:lang w:val="en-GB" w:eastAsia="ko-KR"/>
        </w:rPr>
        <w:t>.</w:t>
      </w:r>
    </w:p>
    <w:p w14:paraId="1F0006A3" w14:textId="77777777" w:rsidR="007E6162" w:rsidRPr="00305238" w:rsidRDefault="007E6162" w:rsidP="00305238">
      <w:pPr>
        <w:spacing w:after="120"/>
        <w:rPr>
          <w:lang w:val="en-GB" w:eastAsia="ko-KR"/>
        </w:rPr>
      </w:pPr>
      <w:r w:rsidRPr="00305238">
        <w:rPr>
          <w:rFonts w:hint="eastAsia"/>
          <w:lang w:val="en-GB" w:eastAsia="ko-KR"/>
        </w:rPr>
        <w:t xml:space="preserve">For </w:t>
      </w:r>
      <w:r w:rsidRPr="00305238">
        <w:rPr>
          <w:lang w:val="en-GB" w:eastAsia="ko-KR"/>
        </w:rPr>
        <w:t>the long-term stabl</w:t>
      </w:r>
      <w:r w:rsidRPr="00305238">
        <w:rPr>
          <w:rFonts w:hint="eastAsia"/>
          <w:lang w:val="en-GB" w:eastAsia="ko-KR"/>
        </w:rPr>
        <w:t xml:space="preserve">e operations </w:t>
      </w:r>
      <w:r w:rsidRPr="00305238">
        <w:rPr>
          <w:lang w:val="en-GB" w:eastAsia="ko-KR"/>
        </w:rPr>
        <w:t>of IMT</w:t>
      </w:r>
      <w:r w:rsidRPr="00305238">
        <w:rPr>
          <w:rFonts w:hint="eastAsia"/>
          <w:lang w:val="en-GB" w:eastAsia="ko-KR"/>
        </w:rPr>
        <w:t xml:space="preserve"> systems in this frequency band, Japan believes </w:t>
      </w:r>
      <w:r w:rsidRPr="00305238">
        <w:rPr>
          <w:lang w:val="en-GB" w:eastAsia="ko-KR"/>
        </w:rPr>
        <w:t>that</w:t>
      </w:r>
      <w:r w:rsidRPr="00305238">
        <w:rPr>
          <w:rFonts w:hint="eastAsia"/>
          <w:lang w:val="en-GB" w:eastAsia="ko-KR"/>
        </w:rPr>
        <w:t xml:space="preserve"> it would be </w:t>
      </w:r>
      <w:r w:rsidRPr="00305238">
        <w:rPr>
          <w:lang w:val="en-GB" w:eastAsia="ko-KR"/>
        </w:rPr>
        <w:t>preferable</w:t>
      </w:r>
      <w:r w:rsidRPr="00305238">
        <w:rPr>
          <w:rFonts w:hint="eastAsia"/>
          <w:lang w:val="en-GB" w:eastAsia="ko-KR"/>
        </w:rPr>
        <w:t xml:space="preserve"> to </w:t>
      </w:r>
      <w:r w:rsidRPr="00305238">
        <w:rPr>
          <w:lang w:val="en-GB" w:eastAsia="ko-KR"/>
        </w:rPr>
        <w:t xml:space="preserve">apply </w:t>
      </w:r>
      <w:proofErr w:type="gramStart"/>
      <w:r w:rsidRPr="00305238">
        <w:rPr>
          <w:lang w:val="en-GB" w:eastAsia="ko-KR"/>
        </w:rPr>
        <w:t>Possible</w:t>
      </w:r>
      <w:proofErr w:type="gramEnd"/>
      <w:r w:rsidRPr="00305238">
        <w:rPr>
          <w:lang w:val="en-GB" w:eastAsia="ko-KR"/>
        </w:rPr>
        <w:t xml:space="preserve"> action 3 Alternative 2 in the draft CPM text for WRC-19 agenda item 9.1, Issue 9.1.2. </w:t>
      </w:r>
      <w:proofErr w:type="gramStart"/>
      <w:r w:rsidRPr="00305238">
        <w:rPr>
          <w:lang w:val="en-GB" w:eastAsia="ko-KR"/>
        </w:rPr>
        <w:t>which</w:t>
      </w:r>
      <w:proofErr w:type="gramEnd"/>
      <w:r w:rsidRPr="00305238">
        <w:rPr>
          <w:rFonts w:hint="eastAsia"/>
          <w:lang w:val="en-GB" w:eastAsia="ko-KR"/>
        </w:rPr>
        <w:t xml:space="preserve"> stipulates </w:t>
      </w:r>
      <w:r w:rsidRPr="00F624F2">
        <w:rPr>
          <w:lang w:val="en-GB" w:eastAsia="ko-KR"/>
        </w:rPr>
        <w:t xml:space="preserve">a PFD limit </w:t>
      </w:r>
      <w:r w:rsidRPr="00305238">
        <w:rPr>
          <w:rFonts w:hint="eastAsia"/>
          <w:lang w:val="en-GB" w:eastAsia="ko-KR"/>
        </w:rPr>
        <w:t xml:space="preserve">for </w:t>
      </w:r>
      <w:r w:rsidRPr="00F624F2">
        <w:rPr>
          <w:lang w:val="en-GB" w:eastAsia="ko-KR"/>
        </w:rPr>
        <w:t>BSS</w:t>
      </w:r>
      <w:r w:rsidRPr="00305238">
        <w:rPr>
          <w:rFonts w:hint="eastAsia"/>
          <w:lang w:val="en-GB" w:eastAsia="ko-KR"/>
        </w:rPr>
        <w:t xml:space="preserve"> </w:t>
      </w:r>
      <w:r w:rsidRPr="00F624F2">
        <w:rPr>
          <w:lang w:val="en-GB" w:eastAsia="ko-KR"/>
        </w:rPr>
        <w:t xml:space="preserve">(sound) in Table </w:t>
      </w:r>
      <w:r w:rsidRPr="00305238">
        <w:rPr>
          <w:lang w:val="en-GB" w:eastAsia="ko-KR"/>
        </w:rPr>
        <w:t>21-4</w:t>
      </w:r>
      <w:r w:rsidRPr="00F624F2">
        <w:rPr>
          <w:lang w:val="en-GB" w:eastAsia="ko-KR"/>
        </w:rPr>
        <w:t xml:space="preserve"> under RR No.</w:t>
      </w:r>
      <w:r w:rsidRPr="00305238">
        <w:rPr>
          <w:lang w:val="en-GB" w:eastAsia="ko-KR"/>
        </w:rPr>
        <w:t xml:space="preserve">21.16 </w:t>
      </w:r>
      <w:r w:rsidRPr="00305238">
        <w:rPr>
          <w:rFonts w:hint="eastAsia"/>
          <w:lang w:val="en-GB" w:eastAsia="ko-KR"/>
        </w:rPr>
        <w:t xml:space="preserve">with respect to </w:t>
      </w:r>
      <w:r w:rsidRPr="00305238">
        <w:rPr>
          <w:lang w:val="en-GB" w:eastAsia="ko-KR"/>
        </w:rPr>
        <w:t>the protection of IMT base and mobile stations</w:t>
      </w:r>
      <w:r w:rsidRPr="00305238">
        <w:rPr>
          <w:rFonts w:hint="eastAsia"/>
          <w:lang w:val="en-GB" w:eastAsia="ko-KR"/>
        </w:rPr>
        <w:t xml:space="preserve"> and no </w:t>
      </w:r>
      <w:r w:rsidRPr="00305238">
        <w:rPr>
          <w:lang w:val="en-GB" w:eastAsia="ko-KR"/>
        </w:rPr>
        <w:t>change to the Radio Regulations</w:t>
      </w:r>
      <w:r w:rsidRPr="00305238">
        <w:rPr>
          <w:rFonts w:hint="eastAsia"/>
          <w:lang w:val="en-GB" w:eastAsia="ko-KR"/>
        </w:rPr>
        <w:t xml:space="preserve"> with respect to the protection of BSS (sound) receivers</w:t>
      </w:r>
      <w:r w:rsidRPr="00305238">
        <w:rPr>
          <w:lang w:val="en-GB" w:eastAsia="ko-KR"/>
        </w:rPr>
        <w:t>.</w:t>
      </w:r>
    </w:p>
    <w:p w14:paraId="293815DD" w14:textId="77777777" w:rsidR="00784AC0" w:rsidRPr="007E6162" w:rsidRDefault="00784AC0" w:rsidP="00A53B60">
      <w:pPr>
        <w:adjustRightInd w:val="0"/>
        <w:snapToGrid w:val="0"/>
        <w:spacing w:after="120"/>
        <w:jc w:val="both"/>
        <w:rPr>
          <w:lang w:eastAsia="ko-KR"/>
        </w:rPr>
      </w:pPr>
    </w:p>
    <w:p w14:paraId="33F4377B" w14:textId="19CB07CC" w:rsidR="00B14905" w:rsidRPr="00441526" w:rsidRDefault="00B14905" w:rsidP="00A53B60">
      <w:pPr>
        <w:adjustRightInd w:val="0"/>
        <w:snapToGrid w:val="0"/>
        <w:spacing w:after="120"/>
        <w:jc w:val="both"/>
        <w:rPr>
          <w:b/>
          <w:lang w:val="en-NZ" w:eastAsia="ko-KR"/>
        </w:rPr>
      </w:pPr>
      <w:r>
        <w:rPr>
          <w:b/>
          <w:lang w:val="en-NZ" w:eastAsia="ko-KR"/>
        </w:rPr>
        <w:t>3.1.</w:t>
      </w:r>
      <w:r>
        <w:rPr>
          <w:rFonts w:hint="eastAsia"/>
          <w:b/>
          <w:lang w:val="en-NZ" w:eastAsia="ko-KR"/>
        </w:rPr>
        <w:t xml:space="preserve">6 </w:t>
      </w:r>
      <w:r w:rsidRPr="00441526">
        <w:rPr>
          <w:b/>
          <w:lang w:val="en-NZ" w:eastAsia="ko-KR"/>
        </w:rPr>
        <w:tab/>
      </w:r>
      <w:r w:rsidR="007E6162">
        <w:rPr>
          <w:b/>
          <w:lang w:val="en-NZ" w:eastAsia="ko-KR"/>
        </w:rPr>
        <w:t>Korea (</w:t>
      </w:r>
      <w:proofErr w:type="spellStart"/>
      <w:r w:rsidR="007E6162">
        <w:rPr>
          <w:b/>
          <w:lang w:val="en-NZ" w:eastAsia="ko-KR"/>
        </w:rPr>
        <w:t>Rep.of</w:t>
      </w:r>
      <w:proofErr w:type="spellEnd"/>
      <w:r w:rsidR="007E6162">
        <w:rPr>
          <w:b/>
          <w:lang w:val="en-NZ" w:eastAsia="ko-KR"/>
        </w:rPr>
        <w:t>) - Document APG19-4</w:t>
      </w:r>
      <w:r>
        <w:rPr>
          <w:b/>
          <w:lang w:val="en-NZ" w:eastAsia="ko-KR"/>
        </w:rPr>
        <w:t>/INP-</w:t>
      </w:r>
      <w:r>
        <w:rPr>
          <w:rFonts w:hint="eastAsia"/>
          <w:b/>
          <w:lang w:val="en-NZ" w:eastAsia="ko-KR"/>
        </w:rPr>
        <w:t>77</w:t>
      </w:r>
    </w:p>
    <w:p w14:paraId="6AC82C2C" w14:textId="77777777" w:rsidR="007E6162" w:rsidRPr="00CC56DB" w:rsidRDefault="007E6162" w:rsidP="007E6162">
      <w:pPr>
        <w:spacing w:after="120"/>
        <w:rPr>
          <w:lang w:val="en-GB" w:eastAsia="ko-KR"/>
        </w:rPr>
      </w:pPr>
      <w:r>
        <w:rPr>
          <w:lang w:val="en-GB" w:eastAsia="ko-KR"/>
        </w:rPr>
        <w:t xml:space="preserve">Under the current Radio Regulations, </w:t>
      </w:r>
      <w:r w:rsidRPr="00D24566">
        <w:t xml:space="preserve">the application of RR No. </w:t>
      </w:r>
      <w:r w:rsidRPr="00D24566">
        <w:rPr>
          <w:rStyle w:val="Artref"/>
          <w:b/>
          <w:bCs/>
        </w:rPr>
        <w:t>9.11</w:t>
      </w:r>
      <w:r w:rsidRPr="00D24566">
        <w:rPr>
          <w:b/>
        </w:rPr>
        <w:t xml:space="preserve"> </w:t>
      </w:r>
      <w:r w:rsidRPr="00D24566">
        <w:t xml:space="preserve">does not provide long-term stability for the operation of IMT due to the fact that only the IMT systems that would come into operation within the next three years would be protected if their coordination is agreed, and only for those three years. </w:t>
      </w:r>
      <w:r w:rsidRPr="00D24566">
        <w:rPr>
          <w:lang w:eastAsia="ja-JP"/>
        </w:rPr>
        <w:t>This situation implies that IMT systems may not be protected appropriately in those countries planning to deploy them in future</w:t>
      </w:r>
      <w:r>
        <w:rPr>
          <w:lang w:eastAsia="ja-JP"/>
        </w:rPr>
        <w:t>.</w:t>
      </w:r>
    </w:p>
    <w:p w14:paraId="1C5373EF" w14:textId="77777777" w:rsidR="007E6162" w:rsidRDefault="007E6162" w:rsidP="007E6162">
      <w:pPr>
        <w:spacing w:after="120"/>
        <w:rPr>
          <w:rFonts w:eastAsiaTheme="minorEastAsia"/>
          <w:lang w:val="en-GB" w:eastAsia="ja-JP"/>
        </w:rPr>
      </w:pPr>
      <w:r>
        <w:rPr>
          <w:lang w:val="en-NZ" w:eastAsia="ko-KR"/>
        </w:rPr>
        <w:t xml:space="preserve">Therefore, </w:t>
      </w:r>
      <w:r>
        <w:rPr>
          <w:rFonts w:hint="eastAsia"/>
          <w:lang w:val="en-NZ" w:eastAsia="ko-KR"/>
        </w:rPr>
        <w:t xml:space="preserve">Korea (Rep. of) is </w:t>
      </w:r>
      <w:r>
        <w:rPr>
          <w:rFonts w:eastAsiaTheme="minorEastAsia"/>
          <w:lang w:val="en-GB" w:eastAsia="ja-JP"/>
        </w:rPr>
        <w:t xml:space="preserve">of view that IMT should be protected from the emission of BSS space station through appropriate technical and/or regulatory actions such as establishing the </w:t>
      </w:r>
      <w:proofErr w:type="spellStart"/>
      <w:r>
        <w:rPr>
          <w:rFonts w:eastAsiaTheme="minorEastAsia"/>
          <w:lang w:val="en-GB" w:eastAsia="ja-JP"/>
        </w:rPr>
        <w:t>pfd</w:t>
      </w:r>
      <w:proofErr w:type="spellEnd"/>
      <w:r>
        <w:rPr>
          <w:rFonts w:eastAsiaTheme="minorEastAsia"/>
          <w:lang w:val="en-GB" w:eastAsia="ja-JP"/>
        </w:rPr>
        <w:t xml:space="preserve"> limit of BSS downlink and supports that </w:t>
      </w:r>
      <w:proofErr w:type="spellStart"/>
      <w:r>
        <w:rPr>
          <w:rFonts w:eastAsiaTheme="minorEastAsia"/>
          <w:lang w:val="en-GB" w:eastAsia="ja-JP"/>
        </w:rPr>
        <w:t>pfd</w:t>
      </w:r>
      <w:proofErr w:type="spellEnd"/>
      <w:r>
        <w:rPr>
          <w:rFonts w:eastAsiaTheme="minorEastAsia"/>
          <w:lang w:val="en-GB" w:eastAsia="ja-JP"/>
        </w:rPr>
        <w:t xml:space="preserve"> limit in Alternative 1 or Alternative 2 is stipulated in the RR Table 21-4.</w:t>
      </w:r>
    </w:p>
    <w:p w14:paraId="48934EE5" w14:textId="77777777" w:rsidR="007E6162" w:rsidRPr="00970B2C" w:rsidRDefault="007E6162" w:rsidP="007E6162">
      <w:pPr>
        <w:pStyle w:val="Headingb"/>
        <w:spacing w:before="0" w:after="120"/>
      </w:pPr>
      <w:r w:rsidRPr="00970B2C">
        <w:t>Alternative 1:</w:t>
      </w:r>
    </w:p>
    <w:p w14:paraId="56469470" w14:textId="77777777" w:rsidR="007E6162" w:rsidRPr="00D24566" w:rsidRDefault="007E6162" w:rsidP="007E6162">
      <w:pPr>
        <w:pStyle w:val="enumlev1"/>
        <w:spacing w:before="0" w:after="120"/>
        <w:rPr>
          <w:lang w:eastAsia="ja-JP"/>
        </w:rPr>
      </w:pPr>
      <w:r w:rsidRPr="00D24566">
        <w:rPr>
          <w:lang w:eastAsia="ja-JP"/>
        </w:rPr>
        <w:tab/>
        <w:t>–112.0 dB</w:t>
      </w:r>
      <w:r>
        <w:rPr>
          <w:rFonts w:eastAsiaTheme="minorEastAsia" w:hint="eastAsia"/>
          <w:lang w:eastAsia="ko-KR"/>
        </w:rPr>
        <w:t xml:space="preserve"> </w:t>
      </w:r>
      <w:r w:rsidRPr="00D24566">
        <w:rPr>
          <w:lang w:eastAsia="ja-JP"/>
        </w:rPr>
        <w:t>(W/m</w:t>
      </w:r>
      <w:r w:rsidRPr="00D24566">
        <w:rPr>
          <w:vertAlign w:val="superscript"/>
          <w:lang w:eastAsia="ja-JP"/>
        </w:rPr>
        <w:t>2</w:t>
      </w:r>
      <w:r w:rsidRPr="00D24566">
        <w:rPr>
          <w:lang w:eastAsia="ja-JP"/>
        </w:rPr>
        <w:t>) in 1 MHz for all angles of arrival above the horizontal plane,</w:t>
      </w:r>
    </w:p>
    <w:p w14:paraId="6CB96015" w14:textId="77777777" w:rsidR="007E6162" w:rsidRDefault="007E6162" w:rsidP="007E6162">
      <w:pPr>
        <w:spacing w:after="120"/>
      </w:pPr>
      <w:proofErr w:type="gramStart"/>
      <w:r w:rsidRPr="00D24566">
        <w:t>where</w:t>
      </w:r>
      <w:proofErr w:type="gramEnd"/>
      <w:r w:rsidRPr="00D24566">
        <w:t xml:space="preserve"> this </w:t>
      </w:r>
      <w:proofErr w:type="spellStart"/>
      <w:r w:rsidRPr="00D24566">
        <w:t>pfd</w:t>
      </w:r>
      <w:proofErr w:type="spellEnd"/>
      <w:r w:rsidRPr="00D24566">
        <w:t xml:space="preserve"> limit is derived </w:t>
      </w:r>
      <w:r w:rsidRPr="00D24566">
        <w:rPr>
          <w:lang w:eastAsia="ja-JP"/>
        </w:rPr>
        <w:t xml:space="preserve">from the results of sharing and compatibility studies regarding </w:t>
      </w:r>
      <w:r w:rsidRPr="00D24566">
        <w:t>protect</w:t>
      </w:r>
      <w:r w:rsidRPr="00D24566">
        <w:rPr>
          <w:lang w:eastAsia="ja-JP"/>
        </w:rPr>
        <w:t>ion of</w:t>
      </w:r>
      <w:r w:rsidRPr="00D24566">
        <w:t xml:space="preserve"> IMT mobile stations assuming 1 dB body loss.</w:t>
      </w:r>
    </w:p>
    <w:p w14:paraId="1EA7E5D7" w14:textId="77777777" w:rsidR="007E6162" w:rsidRPr="00D24566" w:rsidRDefault="007E6162" w:rsidP="007E6162">
      <w:pPr>
        <w:spacing w:after="120"/>
      </w:pPr>
      <w:r>
        <w:t>Or,</w:t>
      </w:r>
    </w:p>
    <w:p w14:paraId="2A292546" w14:textId="77777777" w:rsidR="007E6162" w:rsidRPr="0037069E" w:rsidRDefault="007E6162" w:rsidP="007E6162">
      <w:pPr>
        <w:pStyle w:val="Headingb"/>
        <w:spacing w:before="0" w:after="120"/>
      </w:pPr>
      <w:r w:rsidRPr="0037069E">
        <w:t>Alternative 2:</w:t>
      </w:r>
    </w:p>
    <w:p w14:paraId="0787C2CD" w14:textId="77777777" w:rsidR="007E6162" w:rsidRPr="00D24566" w:rsidRDefault="007E6162" w:rsidP="007E6162">
      <w:pPr>
        <w:pStyle w:val="enumlev1"/>
        <w:spacing w:before="0" w:after="120"/>
        <w:rPr>
          <w:lang w:eastAsia="ja-JP"/>
        </w:rPr>
      </w:pPr>
      <w:r w:rsidRPr="00D24566">
        <w:rPr>
          <w:lang w:eastAsia="ja-JP"/>
        </w:rPr>
        <w:tab/>
        <w:t>–131.3 dB</w:t>
      </w:r>
      <w:r>
        <w:rPr>
          <w:rFonts w:eastAsiaTheme="minorEastAsia" w:hint="eastAsia"/>
          <w:lang w:eastAsia="ko-KR"/>
        </w:rPr>
        <w:t xml:space="preserve"> </w:t>
      </w:r>
      <w:r w:rsidRPr="00D24566">
        <w:rPr>
          <w:lang w:eastAsia="ja-JP"/>
        </w:rPr>
        <w:t>(W/m</w:t>
      </w:r>
      <w:r w:rsidRPr="00D24566">
        <w:rPr>
          <w:vertAlign w:val="superscript"/>
          <w:lang w:eastAsia="ja-JP"/>
        </w:rPr>
        <w:t>2</w:t>
      </w:r>
      <w:r w:rsidRPr="00D24566">
        <w:rPr>
          <w:lang w:eastAsia="ja-JP"/>
        </w:rPr>
        <w:t>) in 1 MHz for angles of arrival (</w:t>
      </w:r>
      <w:r w:rsidRPr="00D24566">
        <w:rPr>
          <w:szCs w:val="24"/>
        </w:rPr>
        <w:t>0</w:t>
      </w:r>
      <w:r w:rsidRPr="00D24566">
        <w:rPr>
          <w:rFonts w:ascii="Symbol" w:hAnsi="Symbol"/>
          <w:color w:val="000000"/>
          <w:szCs w:val="24"/>
        </w:rPr>
        <w:t></w:t>
      </w:r>
      <w:r w:rsidRPr="00D24566">
        <w:rPr>
          <w:szCs w:val="24"/>
        </w:rPr>
        <w:t> </w:t>
      </w:r>
      <w:r w:rsidRPr="00D24566">
        <w:rPr>
          <w:szCs w:val="24"/>
        </w:rPr>
        <w:sym w:font="Symbol" w:char="F0A3"/>
      </w:r>
      <w:r w:rsidRPr="00D24566">
        <w:rPr>
          <w:szCs w:val="24"/>
        </w:rPr>
        <w:t> </w:t>
      </w:r>
      <w:r w:rsidRPr="00D24566">
        <w:rPr>
          <w:lang w:eastAsia="ja-JP"/>
        </w:rPr>
        <w:t>δ</w:t>
      </w:r>
      <w:r w:rsidRPr="00D24566">
        <w:rPr>
          <w:szCs w:val="24"/>
          <w:lang w:eastAsia="ja-JP"/>
        </w:rPr>
        <w:t> </w:t>
      </w:r>
      <w:r w:rsidRPr="00D24566">
        <w:rPr>
          <w:szCs w:val="24"/>
        </w:rPr>
        <w:sym w:font="Symbol" w:char="F0A3"/>
      </w:r>
      <w:r w:rsidRPr="00D24566">
        <w:t> </w:t>
      </w:r>
      <w:r w:rsidRPr="00D24566">
        <w:rPr>
          <w:szCs w:val="24"/>
        </w:rPr>
        <w:t>5</w:t>
      </w:r>
      <w:r w:rsidRPr="00D24566">
        <w:rPr>
          <w:rFonts w:ascii="Symbol" w:hAnsi="Symbol"/>
          <w:color w:val="000000"/>
          <w:szCs w:val="24"/>
        </w:rPr>
        <w:t></w:t>
      </w:r>
      <w:r w:rsidRPr="00D24566">
        <w:rPr>
          <w:lang w:eastAsia="ja-JP"/>
        </w:rPr>
        <w:t xml:space="preserve">) </w:t>
      </w:r>
      <w:r w:rsidRPr="00D24566">
        <w:rPr>
          <w:szCs w:val="24"/>
          <w:lang w:eastAsia="ja-JP"/>
        </w:rPr>
        <w:t>above the horizontal plane,</w:t>
      </w:r>
    </w:p>
    <w:p w14:paraId="7E48FA2D" w14:textId="77777777" w:rsidR="007E6162" w:rsidRPr="00D24566" w:rsidRDefault="007E6162" w:rsidP="007E6162">
      <w:pPr>
        <w:pStyle w:val="enumlev1"/>
        <w:spacing w:before="0" w:after="120"/>
        <w:rPr>
          <w:lang w:eastAsia="ja-JP"/>
        </w:rPr>
      </w:pPr>
      <w:r w:rsidRPr="00D24566">
        <w:rPr>
          <w:lang w:eastAsia="ja-JP"/>
        </w:rPr>
        <w:tab/>
        <w:t>–131.3 + 16/20(δ – 5) dB</w:t>
      </w:r>
      <w:r>
        <w:rPr>
          <w:rFonts w:eastAsiaTheme="minorEastAsia" w:hint="eastAsia"/>
          <w:lang w:eastAsia="ko-KR"/>
        </w:rPr>
        <w:t xml:space="preserve"> </w:t>
      </w:r>
      <w:r w:rsidRPr="00D24566">
        <w:rPr>
          <w:lang w:eastAsia="ja-JP"/>
        </w:rPr>
        <w:t>(W/m</w:t>
      </w:r>
      <w:r w:rsidRPr="00D24566">
        <w:rPr>
          <w:vertAlign w:val="superscript"/>
          <w:lang w:eastAsia="ja-JP"/>
        </w:rPr>
        <w:t>2</w:t>
      </w:r>
      <w:r w:rsidRPr="00D24566">
        <w:rPr>
          <w:lang w:eastAsia="ja-JP"/>
        </w:rPr>
        <w:t>) in 1 MHz for angles of arrival (</w:t>
      </w:r>
      <w:r w:rsidRPr="00D24566">
        <w:rPr>
          <w:szCs w:val="24"/>
          <w:lang w:eastAsia="ja-JP"/>
        </w:rPr>
        <w:t>5</w:t>
      </w:r>
      <w:r w:rsidRPr="00D24566">
        <w:rPr>
          <w:rFonts w:ascii="Symbol" w:hAnsi="Symbol"/>
          <w:color w:val="000000"/>
          <w:szCs w:val="24"/>
        </w:rPr>
        <w:t></w:t>
      </w:r>
      <w:r w:rsidRPr="00D24566">
        <w:rPr>
          <w:szCs w:val="24"/>
        </w:rPr>
        <w:t> </w:t>
      </w:r>
      <w:r w:rsidRPr="00D24566">
        <w:rPr>
          <w:szCs w:val="24"/>
        </w:rPr>
        <w:sym w:font="Symbol" w:char="F0A3"/>
      </w:r>
      <w:r w:rsidRPr="00D24566">
        <w:rPr>
          <w:szCs w:val="24"/>
        </w:rPr>
        <w:t> </w:t>
      </w:r>
      <w:r w:rsidRPr="00D24566">
        <w:rPr>
          <w:lang w:eastAsia="ja-JP"/>
        </w:rPr>
        <w:t>δ</w:t>
      </w:r>
      <w:r w:rsidRPr="00D24566">
        <w:rPr>
          <w:szCs w:val="24"/>
          <w:lang w:eastAsia="ja-JP"/>
        </w:rPr>
        <w:t> </w:t>
      </w:r>
      <w:r w:rsidRPr="00D24566">
        <w:rPr>
          <w:szCs w:val="24"/>
        </w:rPr>
        <w:sym w:font="Symbol" w:char="F0A3"/>
      </w:r>
      <w:r w:rsidRPr="00D24566">
        <w:t> </w:t>
      </w:r>
      <w:r w:rsidRPr="00D24566">
        <w:rPr>
          <w:lang w:eastAsia="ja-JP"/>
        </w:rPr>
        <w:t>2</w:t>
      </w:r>
      <w:r w:rsidRPr="00D24566">
        <w:rPr>
          <w:szCs w:val="24"/>
        </w:rPr>
        <w:t>5</w:t>
      </w:r>
      <w:r w:rsidRPr="00D24566">
        <w:rPr>
          <w:rFonts w:ascii="Symbol" w:hAnsi="Symbol"/>
          <w:color w:val="000000"/>
          <w:szCs w:val="24"/>
        </w:rPr>
        <w:t></w:t>
      </w:r>
      <w:r w:rsidRPr="00D24566">
        <w:rPr>
          <w:lang w:eastAsia="ja-JP"/>
        </w:rPr>
        <w:t xml:space="preserve">) </w:t>
      </w:r>
      <w:r w:rsidRPr="00D24566">
        <w:rPr>
          <w:szCs w:val="24"/>
          <w:lang w:eastAsia="ja-JP"/>
        </w:rPr>
        <w:t>above the horizontal plane,</w:t>
      </w:r>
    </w:p>
    <w:p w14:paraId="50B28A08" w14:textId="77777777" w:rsidR="007E6162" w:rsidRPr="00D24566" w:rsidRDefault="007E6162" w:rsidP="007E6162">
      <w:pPr>
        <w:pStyle w:val="enumlev1"/>
        <w:spacing w:before="0" w:after="120"/>
        <w:rPr>
          <w:szCs w:val="24"/>
          <w:lang w:eastAsia="ja-JP"/>
        </w:rPr>
      </w:pPr>
      <w:r>
        <w:rPr>
          <w:lang w:eastAsia="ja-JP"/>
        </w:rPr>
        <w:lastRenderedPageBreak/>
        <w:tab/>
      </w:r>
      <w:r w:rsidRPr="00D24566">
        <w:rPr>
          <w:lang w:eastAsia="ja-JP"/>
        </w:rPr>
        <w:t>–115.3 dB</w:t>
      </w:r>
      <w:r>
        <w:rPr>
          <w:rFonts w:eastAsiaTheme="minorEastAsia" w:hint="eastAsia"/>
          <w:lang w:eastAsia="ko-KR"/>
        </w:rPr>
        <w:t xml:space="preserve"> </w:t>
      </w:r>
      <w:r w:rsidRPr="00D24566">
        <w:rPr>
          <w:lang w:eastAsia="ja-JP"/>
        </w:rPr>
        <w:t>(W/m</w:t>
      </w:r>
      <w:r w:rsidRPr="00D24566">
        <w:rPr>
          <w:vertAlign w:val="superscript"/>
          <w:lang w:eastAsia="ja-JP"/>
        </w:rPr>
        <w:t>2</w:t>
      </w:r>
      <w:r w:rsidRPr="00D24566">
        <w:rPr>
          <w:lang w:eastAsia="ja-JP"/>
        </w:rPr>
        <w:t>) in 1 MHz for angles of arrival (2</w:t>
      </w:r>
      <w:r w:rsidRPr="00D24566">
        <w:rPr>
          <w:szCs w:val="24"/>
          <w:lang w:eastAsia="ja-JP"/>
        </w:rPr>
        <w:t>5</w:t>
      </w:r>
      <w:r w:rsidRPr="00D24566">
        <w:rPr>
          <w:rFonts w:ascii="Symbol" w:hAnsi="Symbol"/>
          <w:color w:val="000000"/>
          <w:szCs w:val="24"/>
        </w:rPr>
        <w:t></w:t>
      </w:r>
      <w:r w:rsidRPr="00D24566">
        <w:rPr>
          <w:szCs w:val="24"/>
        </w:rPr>
        <w:t> </w:t>
      </w:r>
      <w:r w:rsidRPr="00D24566">
        <w:rPr>
          <w:szCs w:val="24"/>
        </w:rPr>
        <w:sym w:font="Symbol" w:char="F0A3"/>
      </w:r>
      <w:r w:rsidRPr="00D24566">
        <w:rPr>
          <w:szCs w:val="24"/>
        </w:rPr>
        <w:t> </w:t>
      </w:r>
      <w:r w:rsidRPr="00D24566">
        <w:rPr>
          <w:lang w:eastAsia="ja-JP"/>
        </w:rPr>
        <w:t>δ</w:t>
      </w:r>
      <w:r w:rsidRPr="00D24566">
        <w:rPr>
          <w:szCs w:val="24"/>
          <w:lang w:eastAsia="ja-JP"/>
        </w:rPr>
        <w:t> </w:t>
      </w:r>
      <w:r w:rsidRPr="00D24566">
        <w:rPr>
          <w:szCs w:val="24"/>
        </w:rPr>
        <w:sym w:font="Symbol" w:char="F0A3"/>
      </w:r>
      <w:r w:rsidRPr="00D24566">
        <w:t> </w:t>
      </w:r>
      <w:r w:rsidRPr="00D24566">
        <w:rPr>
          <w:lang w:eastAsia="ja-JP"/>
        </w:rPr>
        <w:t>90</w:t>
      </w:r>
      <w:r w:rsidRPr="00D24566">
        <w:rPr>
          <w:rFonts w:ascii="Symbol" w:hAnsi="Symbol"/>
          <w:color w:val="000000"/>
          <w:szCs w:val="24"/>
        </w:rPr>
        <w:t></w:t>
      </w:r>
      <w:r w:rsidRPr="00D24566">
        <w:rPr>
          <w:lang w:eastAsia="ja-JP"/>
        </w:rPr>
        <w:t xml:space="preserve">) </w:t>
      </w:r>
      <w:r w:rsidRPr="00D24566">
        <w:rPr>
          <w:szCs w:val="24"/>
          <w:lang w:eastAsia="ja-JP"/>
        </w:rPr>
        <w:t>above the horizontal plane,</w:t>
      </w:r>
    </w:p>
    <w:p w14:paraId="6C662E25" w14:textId="77777777" w:rsidR="007E6162" w:rsidRDefault="007E6162" w:rsidP="007E6162">
      <w:pPr>
        <w:pStyle w:val="enumlev2"/>
        <w:spacing w:before="0" w:after="120"/>
        <w:ind w:left="0" w:firstLine="0"/>
      </w:pPr>
      <w:proofErr w:type="gramStart"/>
      <w:r w:rsidRPr="00D24566">
        <w:rPr>
          <w:szCs w:val="24"/>
          <w:lang w:eastAsia="ja-JP"/>
        </w:rPr>
        <w:t>where</w:t>
      </w:r>
      <w:proofErr w:type="gramEnd"/>
      <w:r w:rsidRPr="00D24566">
        <w:rPr>
          <w:szCs w:val="24"/>
          <w:lang w:eastAsia="ja-JP"/>
        </w:rPr>
        <w:t xml:space="preserve"> these </w:t>
      </w:r>
      <w:proofErr w:type="spellStart"/>
      <w:r w:rsidRPr="00D24566">
        <w:rPr>
          <w:szCs w:val="24"/>
          <w:lang w:eastAsia="ja-JP"/>
        </w:rPr>
        <w:t>pfd</w:t>
      </w:r>
      <w:proofErr w:type="spellEnd"/>
      <w:r w:rsidRPr="00D24566">
        <w:rPr>
          <w:szCs w:val="24"/>
          <w:lang w:eastAsia="ja-JP"/>
        </w:rPr>
        <w:t xml:space="preserve"> limits </w:t>
      </w:r>
      <w:r>
        <w:rPr>
          <w:szCs w:val="24"/>
          <w:lang w:eastAsia="ja-JP"/>
        </w:rPr>
        <w:t>are</w:t>
      </w:r>
      <w:r w:rsidRPr="00D24566">
        <w:rPr>
          <w:szCs w:val="24"/>
          <w:lang w:eastAsia="ja-JP"/>
        </w:rPr>
        <w:t xml:space="preserve"> derived </w:t>
      </w:r>
      <w:r w:rsidRPr="00D24566">
        <w:rPr>
          <w:lang w:eastAsia="ja-JP"/>
        </w:rPr>
        <w:t xml:space="preserve">from the results of sharing and compatibility studies regarding </w:t>
      </w:r>
      <w:r w:rsidRPr="00D24566">
        <w:t>protect</w:t>
      </w:r>
      <w:r w:rsidRPr="00D24566">
        <w:rPr>
          <w:lang w:eastAsia="ja-JP"/>
        </w:rPr>
        <w:t>ion of</w:t>
      </w:r>
      <w:r w:rsidRPr="00D24566">
        <w:t xml:space="preserve"> </w:t>
      </w:r>
      <w:r w:rsidRPr="00D24566">
        <w:rPr>
          <w:szCs w:val="24"/>
          <w:lang w:eastAsia="ja-JP"/>
        </w:rPr>
        <w:t>both IMT base and mobile stations</w:t>
      </w:r>
      <w:r w:rsidRPr="00D24566">
        <w:t>.</w:t>
      </w:r>
    </w:p>
    <w:p w14:paraId="67AB991F" w14:textId="77777777" w:rsidR="00784AC0" w:rsidRPr="007E6162" w:rsidRDefault="00784AC0" w:rsidP="00CD0E15">
      <w:pPr>
        <w:adjustRightInd w:val="0"/>
        <w:snapToGrid w:val="0"/>
        <w:spacing w:after="120"/>
        <w:jc w:val="both"/>
        <w:rPr>
          <w:b/>
          <w:lang w:val="en-GB" w:eastAsia="ko-KR"/>
        </w:rPr>
      </w:pPr>
    </w:p>
    <w:p w14:paraId="72FFAE65" w14:textId="7E415999" w:rsidR="00A7380A" w:rsidRPr="00CD0E15" w:rsidRDefault="007E6162" w:rsidP="00A53B60">
      <w:pPr>
        <w:adjustRightInd w:val="0"/>
        <w:snapToGrid w:val="0"/>
        <w:spacing w:after="120"/>
        <w:rPr>
          <w:b/>
          <w:lang w:eastAsia="ko-KR"/>
        </w:rPr>
      </w:pPr>
      <w:r>
        <w:rPr>
          <w:b/>
          <w:lang w:eastAsia="ko-KR"/>
        </w:rPr>
        <w:t>3.1.7 China –Document APG19-4/INP-98</w:t>
      </w:r>
    </w:p>
    <w:p w14:paraId="674D400B" w14:textId="77777777" w:rsidR="00013F1D" w:rsidRDefault="00013F1D" w:rsidP="00013F1D">
      <w:pPr>
        <w:spacing w:afterLines="50" w:after="120"/>
        <w:jc w:val="both"/>
        <w:rPr>
          <w:lang w:eastAsia="zh-CN"/>
        </w:rPr>
      </w:pPr>
      <w:r>
        <w:rPr>
          <w:lang w:eastAsia="zh-CN"/>
        </w:rPr>
        <w:t>China is of the following preliminary views:</w:t>
      </w:r>
    </w:p>
    <w:p w14:paraId="199EC2D6" w14:textId="77777777" w:rsidR="00013F1D" w:rsidRDefault="00013F1D" w:rsidP="00013F1D">
      <w:pPr>
        <w:pStyle w:val="ListParagraph"/>
        <w:numPr>
          <w:ilvl w:val="0"/>
          <w:numId w:val="23"/>
        </w:numPr>
        <w:spacing w:afterLines="50" w:after="120"/>
        <w:jc w:val="both"/>
      </w:pPr>
      <w:r>
        <w:rPr>
          <w:rFonts w:eastAsia="SimSun"/>
          <w:lang w:eastAsia="zh-CN"/>
        </w:rPr>
        <w:t>T</w:t>
      </w:r>
      <w:r w:rsidRPr="004F2BBE">
        <w:rPr>
          <w:rFonts w:eastAsia="SimSun"/>
          <w:lang w:eastAsia="zh-CN"/>
        </w:rPr>
        <w:t>he principle for all allocation frequency for either terrestrial or space service should not establish undue constraints on the services to which the frequency band is allocated.</w:t>
      </w:r>
      <w:r>
        <w:rPr>
          <w:rFonts w:eastAsia="SimSun"/>
          <w:lang w:eastAsia="zh-CN"/>
        </w:rPr>
        <w:t xml:space="preserve"> Furthermore, </w:t>
      </w:r>
      <w:r w:rsidRPr="00A62C18">
        <w:rPr>
          <w:rFonts w:eastAsia="SimSun"/>
          <w:lang w:eastAsia="zh-CN"/>
        </w:rPr>
        <w:t xml:space="preserve">the </w:t>
      </w:r>
      <w:proofErr w:type="spellStart"/>
      <w:r w:rsidRPr="00A62C18">
        <w:rPr>
          <w:rFonts w:eastAsia="SimSun"/>
          <w:lang w:eastAsia="zh-CN"/>
        </w:rPr>
        <w:t>pfd</w:t>
      </w:r>
      <w:proofErr w:type="spellEnd"/>
      <w:r w:rsidRPr="00A62C18">
        <w:rPr>
          <w:rFonts w:eastAsia="SimSun"/>
          <w:lang w:eastAsia="zh-CN"/>
        </w:rPr>
        <w:t xml:space="preserve"> limitation when it is agreed to be proposed should firstly cover existing and planned BSS (sound) operational requirements</w:t>
      </w:r>
      <w:r w:rsidRPr="004F2BBE">
        <w:t xml:space="preserve"> </w:t>
      </w:r>
      <w:r>
        <w:rPr>
          <w:rFonts w:eastAsia="SimSun"/>
          <w:lang w:eastAsia="zh-CN"/>
        </w:rPr>
        <w:t>p</w:t>
      </w:r>
      <w:r w:rsidRPr="004F2BBE">
        <w:rPr>
          <w:rFonts w:eastAsia="SimSun"/>
          <w:lang w:eastAsia="zh-CN"/>
        </w:rPr>
        <w:t xml:space="preserve">ursuant to Resolution </w:t>
      </w:r>
      <w:r w:rsidRPr="006763BA">
        <w:rPr>
          <w:rFonts w:eastAsia="SimSun"/>
          <w:b/>
          <w:lang w:eastAsia="zh-CN"/>
        </w:rPr>
        <w:t>761 (WRC-15)</w:t>
      </w:r>
      <w:r w:rsidRPr="00A62C18">
        <w:rPr>
          <w:rFonts w:eastAsia="SimSun"/>
          <w:lang w:eastAsia="zh-CN"/>
        </w:rPr>
        <w:t xml:space="preserve">, where it </w:t>
      </w:r>
      <w:r>
        <w:rPr>
          <w:rFonts w:eastAsia="SimSun"/>
          <w:lang w:eastAsia="zh-CN"/>
        </w:rPr>
        <w:t xml:space="preserve">is </w:t>
      </w:r>
      <w:r w:rsidRPr="00A62C18">
        <w:rPr>
          <w:rFonts w:eastAsia="SimSun"/>
          <w:lang w:eastAsia="zh-CN"/>
        </w:rPr>
        <w:t xml:space="preserve">imposed for BSS (sound) space station in the frequency band 1 452-1 492 MHz in Table </w:t>
      </w:r>
      <w:r w:rsidRPr="00A62C18">
        <w:rPr>
          <w:rFonts w:eastAsia="SimSun"/>
          <w:b/>
          <w:lang w:eastAsia="zh-CN"/>
        </w:rPr>
        <w:t>21-4</w:t>
      </w:r>
      <w:r w:rsidRPr="00A62C18">
        <w:rPr>
          <w:rFonts w:eastAsia="SimSun"/>
          <w:lang w:eastAsia="zh-CN"/>
        </w:rPr>
        <w:t xml:space="preserve"> under RR No. </w:t>
      </w:r>
      <w:r w:rsidRPr="00A62C18">
        <w:rPr>
          <w:rFonts w:eastAsia="SimSun"/>
          <w:b/>
          <w:lang w:eastAsia="zh-CN"/>
        </w:rPr>
        <w:t>21.16</w:t>
      </w:r>
      <w:r w:rsidRPr="00A62C18">
        <w:rPr>
          <w:rFonts w:eastAsia="SimSun"/>
          <w:lang w:eastAsia="zh-CN"/>
        </w:rPr>
        <w:t xml:space="preserve">. China proposes that there should be no </w:t>
      </w:r>
      <w:proofErr w:type="spellStart"/>
      <w:r w:rsidRPr="00A62C18">
        <w:rPr>
          <w:rFonts w:eastAsia="SimSun"/>
          <w:lang w:eastAsia="zh-CN"/>
        </w:rPr>
        <w:t>pfd</w:t>
      </w:r>
      <w:proofErr w:type="spellEnd"/>
      <w:r w:rsidRPr="00A62C18">
        <w:rPr>
          <w:rFonts w:eastAsia="SimSun"/>
          <w:lang w:eastAsia="zh-CN"/>
        </w:rPr>
        <w:t xml:space="preserve"> </w:t>
      </w:r>
      <w:r>
        <w:rPr>
          <w:rFonts w:eastAsia="SimSun"/>
          <w:lang w:eastAsia="zh-CN"/>
        </w:rPr>
        <w:t xml:space="preserve">mandatory </w:t>
      </w:r>
      <w:r w:rsidRPr="00A62C18">
        <w:rPr>
          <w:rFonts w:eastAsia="SimSun"/>
          <w:lang w:eastAsia="zh-CN"/>
        </w:rPr>
        <w:t xml:space="preserve">limitation in the RR Art. </w:t>
      </w:r>
      <w:r w:rsidRPr="00A62C18">
        <w:rPr>
          <w:rFonts w:eastAsia="SimSun"/>
          <w:b/>
          <w:lang w:eastAsia="zh-CN"/>
        </w:rPr>
        <w:t>21</w:t>
      </w:r>
      <w:r w:rsidRPr="00A62C18">
        <w:rPr>
          <w:rFonts w:eastAsia="SimSun"/>
          <w:lang w:eastAsia="zh-CN"/>
        </w:rPr>
        <w:t xml:space="preserve"> to the BSS (sound) space station in the 1 452-1 492 MHz frequency band</w:t>
      </w:r>
      <w:r>
        <w:rPr>
          <w:rFonts w:eastAsia="SimSun"/>
          <w:lang w:eastAsia="zh-CN"/>
        </w:rPr>
        <w:t>;</w:t>
      </w:r>
    </w:p>
    <w:p w14:paraId="7AA5413D" w14:textId="77777777" w:rsidR="00013F1D" w:rsidRDefault="00013F1D" w:rsidP="00013F1D">
      <w:pPr>
        <w:pStyle w:val="ListParagraph"/>
        <w:numPr>
          <w:ilvl w:val="0"/>
          <w:numId w:val="23"/>
        </w:numPr>
      </w:pPr>
      <w:r w:rsidRPr="00FF7846">
        <w:t>Considering that the current Radio Regulation and technical conditions could sufficiently ensure compatibility of IMT and broadcasting-satellite service (BSS) (sound) in the frequency band 1 452-1 492 MHz in Regions 1 and 3, China supports NOC as the possible action with respect to Issue 9.1.2</w:t>
      </w:r>
      <w:r>
        <w:t>.</w:t>
      </w:r>
    </w:p>
    <w:p w14:paraId="7F6FF48B" w14:textId="77777777" w:rsidR="00A7380A" w:rsidRPr="00013F1D" w:rsidRDefault="00A7380A" w:rsidP="00A53B60">
      <w:pPr>
        <w:adjustRightInd w:val="0"/>
        <w:snapToGrid w:val="0"/>
        <w:spacing w:after="120"/>
        <w:rPr>
          <w:lang w:eastAsia="ko-KR"/>
        </w:rPr>
      </w:pPr>
    </w:p>
    <w:p w14:paraId="2FCB3CFC" w14:textId="7CD6FC2E" w:rsidR="00883B04" w:rsidRPr="00883B04" w:rsidRDefault="00883B04" w:rsidP="00A53B60">
      <w:pPr>
        <w:adjustRightInd w:val="0"/>
        <w:snapToGrid w:val="0"/>
        <w:spacing w:after="120"/>
        <w:jc w:val="both"/>
        <w:rPr>
          <w:b/>
          <w:lang w:val="en-NZ" w:eastAsia="ko-KR"/>
        </w:rPr>
      </w:pPr>
      <w:r>
        <w:rPr>
          <w:b/>
          <w:lang w:val="en-NZ" w:eastAsia="ko-KR"/>
        </w:rPr>
        <w:t>3.1.</w:t>
      </w:r>
      <w:r w:rsidR="00A7380A">
        <w:rPr>
          <w:rFonts w:hint="eastAsia"/>
          <w:b/>
          <w:lang w:val="en-NZ" w:eastAsia="ko-KR"/>
        </w:rPr>
        <w:t>8</w:t>
      </w:r>
      <w:r>
        <w:rPr>
          <w:rFonts w:hint="eastAsia"/>
          <w:b/>
          <w:lang w:val="en-NZ" w:eastAsia="ko-KR"/>
        </w:rPr>
        <w:t xml:space="preserve"> </w:t>
      </w:r>
      <w:r w:rsidRPr="00441526">
        <w:rPr>
          <w:b/>
          <w:lang w:val="en-NZ" w:eastAsia="ko-KR"/>
        </w:rPr>
        <w:tab/>
      </w:r>
      <w:r w:rsidR="00013F1D">
        <w:rPr>
          <w:b/>
          <w:lang w:val="en-NZ" w:eastAsia="ko-KR"/>
        </w:rPr>
        <w:t>Bangladesh</w:t>
      </w:r>
      <w:r>
        <w:rPr>
          <w:rFonts w:hint="eastAsia"/>
          <w:b/>
          <w:lang w:val="en-NZ" w:eastAsia="ko-KR"/>
        </w:rPr>
        <w:t xml:space="preserve"> - D</w:t>
      </w:r>
      <w:r w:rsidR="00013F1D">
        <w:rPr>
          <w:b/>
          <w:lang w:val="en-NZ" w:eastAsia="ko-KR"/>
        </w:rPr>
        <w:t>ocument APG19-4</w:t>
      </w:r>
      <w:r>
        <w:rPr>
          <w:b/>
          <w:lang w:val="en-NZ" w:eastAsia="ko-KR"/>
        </w:rPr>
        <w:t>/INP-</w:t>
      </w:r>
      <w:r w:rsidR="00013F1D">
        <w:rPr>
          <w:rFonts w:hint="eastAsia"/>
          <w:b/>
          <w:lang w:val="en-NZ" w:eastAsia="ko-KR"/>
        </w:rPr>
        <w:t>110</w:t>
      </w:r>
    </w:p>
    <w:p w14:paraId="4DAFC3E5" w14:textId="77777777" w:rsidR="00013F1D" w:rsidRDefault="00013F1D" w:rsidP="00013F1D">
      <w:pPr>
        <w:rPr>
          <w:lang w:val="en-AU"/>
        </w:rPr>
      </w:pPr>
      <w:r>
        <w:rPr>
          <w:lang w:val="en-AU"/>
        </w:rPr>
        <w:t>Bangladesh supports the APT Preliminary V</w:t>
      </w:r>
      <w:r w:rsidRPr="00094867">
        <w:rPr>
          <w:lang w:val="en-AU"/>
        </w:rPr>
        <w:t>iew on this Issue from APG19-3</w:t>
      </w:r>
      <w:r>
        <w:rPr>
          <w:lang w:val="en-AU"/>
        </w:rPr>
        <w:t xml:space="preserve"> as follows:</w:t>
      </w:r>
    </w:p>
    <w:p w14:paraId="3C27ABF5" w14:textId="1447DA35" w:rsidR="00013F1D" w:rsidRPr="00094867" w:rsidRDefault="00013F1D" w:rsidP="00013F1D">
      <w:pPr>
        <w:rPr>
          <w:lang w:val="en-AU"/>
        </w:rPr>
      </w:pPr>
    </w:p>
    <w:p w14:paraId="58FC9D8F" w14:textId="77777777" w:rsidR="00013F1D" w:rsidRPr="004826BE" w:rsidRDefault="00013F1D" w:rsidP="00013F1D">
      <w:pPr>
        <w:adjustRightInd w:val="0"/>
        <w:snapToGrid w:val="0"/>
        <w:spacing w:after="120"/>
        <w:jc w:val="both"/>
        <w:rPr>
          <w:sz w:val="2"/>
          <w:u w:val="single"/>
          <w:lang w:val="en-NZ" w:eastAsia="ko-KR"/>
        </w:rPr>
      </w:pPr>
    </w:p>
    <w:p w14:paraId="6E3562B2" w14:textId="77777777" w:rsidR="00013F1D" w:rsidRDefault="00013F1D" w:rsidP="00013F1D">
      <w:pPr>
        <w:adjustRightInd w:val="0"/>
        <w:snapToGrid w:val="0"/>
        <w:jc w:val="both"/>
        <w:rPr>
          <w:sz w:val="2"/>
          <w:u w:val="single"/>
          <w:lang w:val="en-NZ" w:eastAsia="ko-KR"/>
        </w:rPr>
      </w:pPr>
      <w:r w:rsidRPr="0058598E">
        <w:rPr>
          <w:u w:val="single"/>
          <w:lang w:val="en-NZ" w:eastAsia="ko-KR"/>
        </w:rPr>
        <w:t>The view from APG 19-3</w:t>
      </w:r>
      <w:proofErr w:type="gramStart"/>
      <w:r>
        <w:rPr>
          <w:u w:val="single"/>
          <w:lang w:val="en-NZ" w:eastAsia="ko-KR"/>
        </w:rPr>
        <w:t>:</w:t>
      </w:r>
      <w:r>
        <w:rPr>
          <w:sz w:val="2"/>
          <w:u w:val="single"/>
          <w:lang w:val="en-NZ" w:eastAsia="ko-KR"/>
        </w:rPr>
        <w:t>[[</w:t>
      </w:r>
      <w:proofErr w:type="gramEnd"/>
    </w:p>
    <w:p w14:paraId="11182826" w14:textId="77777777" w:rsidR="00013F1D" w:rsidRDefault="00013F1D" w:rsidP="00013F1D">
      <w:pPr>
        <w:adjustRightInd w:val="0"/>
        <w:snapToGrid w:val="0"/>
        <w:jc w:val="both"/>
        <w:rPr>
          <w:lang w:val="en-NZ" w:eastAsia="ko-KR"/>
        </w:rPr>
      </w:pPr>
    </w:p>
    <w:p w14:paraId="66C8F96B" w14:textId="77777777" w:rsidR="00013F1D" w:rsidRPr="004826BE" w:rsidRDefault="00013F1D" w:rsidP="00013F1D">
      <w:pPr>
        <w:adjustRightInd w:val="0"/>
        <w:snapToGrid w:val="0"/>
        <w:jc w:val="both"/>
        <w:rPr>
          <w:u w:val="single"/>
          <w:lang w:val="en-NZ" w:eastAsia="ko-KR"/>
        </w:rPr>
      </w:pPr>
      <w:r w:rsidRPr="008B29C1">
        <w:rPr>
          <w:rFonts w:hint="eastAsia"/>
          <w:lang w:val="en-NZ" w:eastAsia="ko-KR"/>
        </w:rPr>
        <w:t>APT</w:t>
      </w:r>
      <w:r>
        <w:rPr>
          <w:rFonts w:hint="eastAsia"/>
          <w:lang w:val="en-NZ" w:eastAsia="ko-KR"/>
        </w:rPr>
        <w:t xml:space="preserve"> </w:t>
      </w:r>
      <w:r>
        <w:rPr>
          <w:lang w:val="en-NZ" w:eastAsia="ko-KR"/>
        </w:rPr>
        <w:t>M</w:t>
      </w:r>
      <w:r>
        <w:rPr>
          <w:rFonts w:hint="eastAsia"/>
          <w:lang w:val="en-NZ" w:eastAsia="ko-KR"/>
        </w:rPr>
        <w:t xml:space="preserve">embers </w:t>
      </w:r>
      <w:r w:rsidRPr="001D793A">
        <w:rPr>
          <w:rFonts w:eastAsia="Times New Roman"/>
          <w:lang w:val="en-GB" w:eastAsia="ja-JP"/>
        </w:rPr>
        <w:t xml:space="preserve">support </w:t>
      </w:r>
      <w:r w:rsidRPr="001D793A">
        <w:rPr>
          <w:rFonts w:eastAsia="Times New Roman" w:hint="eastAsia"/>
          <w:lang w:val="en-GB" w:eastAsia="ja-JP"/>
        </w:rPr>
        <w:t xml:space="preserve">the </w:t>
      </w:r>
      <w:r w:rsidRPr="001D793A">
        <w:rPr>
          <w:rFonts w:eastAsia="Times New Roman"/>
          <w:lang w:val="en-GB" w:eastAsia="ja-JP"/>
        </w:rPr>
        <w:t>regulatory and technical studies</w:t>
      </w:r>
      <w:r w:rsidRPr="001D793A">
        <w:rPr>
          <w:rFonts w:eastAsia="Times New Roman" w:hint="eastAsia"/>
          <w:lang w:val="en-GB" w:eastAsia="ja-JP"/>
        </w:rPr>
        <w:t xml:space="preserve"> being </w:t>
      </w:r>
      <w:r w:rsidRPr="001D793A">
        <w:rPr>
          <w:rFonts w:eastAsia="Times New Roman"/>
          <w:lang w:val="en-GB" w:eastAsia="ja-JP"/>
        </w:rPr>
        <w:t>conducted</w:t>
      </w:r>
      <w:r w:rsidRPr="001D793A">
        <w:rPr>
          <w:rFonts w:eastAsia="Times New Roman" w:hint="eastAsia"/>
          <w:lang w:val="en-GB" w:eastAsia="ja-JP"/>
        </w:rPr>
        <w:t xml:space="preserve"> by ITU-R in order to achieve</w:t>
      </w:r>
      <w:r w:rsidRPr="001D793A">
        <w:rPr>
          <w:rFonts w:eastAsia="Times New Roman"/>
          <w:lang w:val="en-GB" w:eastAsia="ja-JP"/>
        </w:rPr>
        <w:t xml:space="preserve"> compatibility of IMT and BSS (sound) in the frequency band 1 452</w:t>
      </w:r>
      <w:r w:rsidRPr="001D793A">
        <w:rPr>
          <w:rFonts w:eastAsia="Times New Roman" w:hint="eastAsia"/>
          <w:lang w:val="en-GB" w:eastAsia="ja-JP"/>
        </w:rPr>
        <w:t>-</w:t>
      </w:r>
      <w:r w:rsidRPr="001D793A">
        <w:rPr>
          <w:rFonts w:eastAsia="Times New Roman"/>
          <w:lang w:val="en-GB" w:eastAsia="ja-JP"/>
        </w:rPr>
        <w:t>1 492 MHz in Regions 1 and 3</w:t>
      </w:r>
      <w:r>
        <w:rPr>
          <w:rFonts w:eastAsia="Malgun Gothic" w:hint="eastAsia"/>
          <w:lang w:val="en-GB" w:eastAsia="ko-KR"/>
        </w:rPr>
        <w:t xml:space="preserve"> in accordance with </w:t>
      </w:r>
      <w:r w:rsidRPr="001D793A">
        <w:rPr>
          <w:rFonts w:eastAsia="Times New Roman"/>
          <w:lang w:val="en-GB" w:eastAsia="ja-JP"/>
        </w:rPr>
        <w:t xml:space="preserve">Resolution </w:t>
      </w:r>
      <w:r w:rsidRPr="001D793A">
        <w:rPr>
          <w:rFonts w:eastAsia="Times New Roman"/>
          <w:b/>
          <w:lang w:val="en-GB" w:eastAsia="ja-JP"/>
        </w:rPr>
        <w:t>761 (WRC-15</w:t>
      </w:r>
      <w:r>
        <w:rPr>
          <w:rFonts w:eastAsia="Malgun Gothic" w:hint="eastAsia"/>
          <w:b/>
          <w:lang w:val="en-GB" w:eastAsia="ko-KR"/>
        </w:rPr>
        <w:t>).</w:t>
      </w:r>
    </w:p>
    <w:p w14:paraId="47155FE1" w14:textId="5290789C" w:rsidR="00013F1D" w:rsidRPr="0058598E" w:rsidRDefault="00013F1D" w:rsidP="00013F1D">
      <w:pPr>
        <w:adjustRightInd w:val="0"/>
        <w:snapToGrid w:val="0"/>
        <w:spacing w:after="120"/>
        <w:jc w:val="both"/>
      </w:pPr>
      <w:r>
        <w:rPr>
          <w:rFonts w:hint="eastAsia"/>
          <w:lang w:val="en-GB" w:eastAsia="ko-KR"/>
        </w:rPr>
        <w:t xml:space="preserve">APT </w:t>
      </w:r>
      <w:r>
        <w:rPr>
          <w:lang w:val="en-GB" w:eastAsia="ko-KR"/>
        </w:rPr>
        <w:t>M</w:t>
      </w:r>
      <w:r>
        <w:rPr>
          <w:rFonts w:hint="eastAsia"/>
          <w:lang w:val="en-GB" w:eastAsia="ko-KR"/>
        </w:rPr>
        <w:t xml:space="preserve">embers are of view that </w:t>
      </w:r>
      <w:r>
        <w:rPr>
          <w:lang w:val="en-GB" w:eastAsia="ko-KR"/>
        </w:rPr>
        <w:t>appropriate</w:t>
      </w:r>
      <w:r>
        <w:rPr>
          <w:rFonts w:hint="eastAsia"/>
          <w:lang w:val="en-GB" w:eastAsia="ko-KR"/>
        </w:rPr>
        <w:t xml:space="preserve"> regulatory and </w:t>
      </w:r>
      <w:r w:rsidRPr="00306D9B">
        <w:rPr>
          <w:lang w:val="ru-RU"/>
        </w:rPr>
        <w:t xml:space="preserve">technical measures </w:t>
      </w:r>
      <w:r>
        <w:rPr>
          <w:rFonts w:hint="eastAsia"/>
          <w:lang w:val="ru-RU" w:eastAsia="ko-KR"/>
        </w:rPr>
        <w:t xml:space="preserve">should be developed </w:t>
      </w:r>
      <w:r w:rsidRPr="00306D9B">
        <w:rPr>
          <w:lang w:val="ru-RU"/>
        </w:rPr>
        <w:t>to ensure</w:t>
      </w:r>
      <w:r w:rsidRPr="00306D9B">
        <w:t xml:space="preserve"> coexistence and</w:t>
      </w:r>
      <w:r w:rsidRPr="00306D9B">
        <w:rPr>
          <w:lang w:val="ru-RU"/>
        </w:rPr>
        <w:t xml:space="preserve"> compatibility between IMT and </w:t>
      </w:r>
      <w:r w:rsidRPr="00306D9B">
        <w:t>BSS (Sound)</w:t>
      </w:r>
      <w:r w:rsidR="002C57C1">
        <w:rPr>
          <w:lang w:val="ru-RU"/>
        </w:rPr>
        <w:t xml:space="preserve"> in the frequency band</w:t>
      </w:r>
      <w:r w:rsidRPr="00306D9B">
        <w:rPr>
          <w:lang w:val="ru-RU"/>
        </w:rPr>
        <w:t xml:space="preserve"> </w:t>
      </w:r>
      <w:r w:rsidRPr="00306D9B">
        <w:t>1</w:t>
      </w:r>
      <w:r>
        <w:rPr>
          <w:rFonts w:hint="eastAsia"/>
          <w:lang w:eastAsia="ko-KR"/>
        </w:rPr>
        <w:t xml:space="preserve"> </w:t>
      </w:r>
      <w:r w:rsidRPr="00306D9B">
        <w:t>452 – 1</w:t>
      </w:r>
      <w:r>
        <w:rPr>
          <w:rFonts w:hint="eastAsia"/>
          <w:lang w:eastAsia="ko-KR"/>
        </w:rPr>
        <w:t xml:space="preserve"> </w:t>
      </w:r>
      <w:r w:rsidRPr="00306D9B">
        <w:t>492 MHz</w:t>
      </w:r>
      <w:r>
        <w:rPr>
          <w:rFonts w:hint="eastAsia"/>
          <w:lang w:eastAsia="ko-KR"/>
        </w:rPr>
        <w:t xml:space="preserve"> taking into account the results of ITU-R studies</w:t>
      </w:r>
      <w:r>
        <w:t>.</w:t>
      </w:r>
    </w:p>
    <w:p w14:paraId="29646662" w14:textId="55C1EDF3" w:rsidR="00B14905" w:rsidRDefault="00B14905" w:rsidP="00A53B60">
      <w:pPr>
        <w:adjustRightInd w:val="0"/>
        <w:snapToGrid w:val="0"/>
        <w:spacing w:after="120"/>
        <w:rPr>
          <w:lang w:eastAsia="ko-KR"/>
        </w:rPr>
      </w:pPr>
    </w:p>
    <w:p w14:paraId="64CFB7AF" w14:textId="7D8FF94E" w:rsidR="00013F1D" w:rsidRPr="00883B04" w:rsidRDefault="00013F1D" w:rsidP="00013F1D">
      <w:pPr>
        <w:adjustRightInd w:val="0"/>
        <w:snapToGrid w:val="0"/>
        <w:spacing w:after="120"/>
        <w:jc w:val="both"/>
        <w:rPr>
          <w:b/>
          <w:lang w:val="en-NZ" w:eastAsia="ko-KR"/>
        </w:rPr>
      </w:pPr>
      <w:r>
        <w:rPr>
          <w:b/>
          <w:lang w:val="en-NZ" w:eastAsia="ko-KR"/>
        </w:rPr>
        <w:t>3.1.</w:t>
      </w:r>
      <w:r>
        <w:rPr>
          <w:rFonts w:hint="eastAsia"/>
          <w:b/>
          <w:lang w:val="en-NZ" w:eastAsia="ko-KR"/>
        </w:rPr>
        <w:t>9</w:t>
      </w:r>
      <w:r w:rsidRPr="00441526">
        <w:rPr>
          <w:b/>
          <w:lang w:val="en-NZ" w:eastAsia="ko-KR"/>
        </w:rPr>
        <w:tab/>
      </w:r>
      <w:r>
        <w:rPr>
          <w:b/>
          <w:lang w:val="en-NZ" w:eastAsia="ko-KR"/>
        </w:rPr>
        <w:t>Nepal</w:t>
      </w:r>
      <w:r>
        <w:rPr>
          <w:rFonts w:hint="eastAsia"/>
          <w:b/>
          <w:lang w:val="en-NZ" w:eastAsia="ko-KR"/>
        </w:rPr>
        <w:t xml:space="preserve"> - D</w:t>
      </w:r>
      <w:r>
        <w:rPr>
          <w:b/>
          <w:lang w:val="en-NZ" w:eastAsia="ko-KR"/>
        </w:rPr>
        <w:t>ocument APG19-4/INF-</w:t>
      </w:r>
      <w:r>
        <w:rPr>
          <w:rFonts w:hint="eastAsia"/>
          <w:b/>
          <w:lang w:val="en-NZ" w:eastAsia="ko-KR"/>
        </w:rPr>
        <w:t>2</w:t>
      </w:r>
      <w:r>
        <w:rPr>
          <w:b/>
          <w:lang w:val="en-NZ" w:eastAsia="ko-KR"/>
        </w:rPr>
        <w:t>7</w:t>
      </w:r>
    </w:p>
    <w:p w14:paraId="062EB752" w14:textId="1EE1F80B" w:rsidR="00013F1D" w:rsidRPr="00305238" w:rsidRDefault="00013F1D" w:rsidP="00305238">
      <w:pPr>
        <w:spacing w:after="120"/>
        <w:rPr>
          <w:lang w:val="en-GB" w:eastAsia="ko-KR"/>
        </w:rPr>
      </w:pPr>
      <w:r w:rsidRPr="00305238">
        <w:rPr>
          <w:lang w:val="en-GB" w:eastAsia="ko-KR"/>
        </w:rPr>
        <w:t>The frequency band 1 452-1 492 MHz is identified as one of the potential 5G frequency band in Nepal. At present, Nepal does not have any broadcasting satellite service in use in this band. Nepal prefers IMT to broadcasting satellite service in this band.</w:t>
      </w:r>
    </w:p>
    <w:p w14:paraId="086DA6CB" w14:textId="19855656" w:rsidR="00013F1D" w:rsidRPr="00305238" w:rsidRDefault="00013F1D" w:rsidP="00305238">
      <w:pPr>
        <w:spacing w:after="120"/>
        <w:rPr>
          <w:lang w:val="en-GB" w:eastAsia="ko-KR"/>
        </w:rPr>
      </w:pPr>
      <w:r w:rsidRPr="00305238">
        <w:rPr>
          <w:lang w:val="en-GB" w:eastAsia="ko-KR"/>
        </w:rPr>
        <w:t xml:space="preserve">Nepal supports </w:t>
      </w:r>
      <w:r w:rsidRPr="00305238">
        <w:rPr>
          <w:rFonts w:hint="eastAsia"/>
          <w:lang w:val="en-GB" w:eastAsia="ko-KR"/>
        </w:rPr>
        <w:t xml:space="preserve">the </w:t>
      </w:r>
      <w:r w:rsidRPr="00305238">
        <w:rPr>
          <w:lang w:val="en-GB" w:eastAsia="ko-KR"/>
        </w:rPr>
        <w:t>regulatory and technical studies</w:t>
      </w:r>
      <w:r w:rsidRPr="00305238">
        <w:rPr>
          <w:rFonts w:hint="eastAsia"/>
          <w:lang w:val="en-GB" w:eastAsia="ko-KR"/>
        </w:rPr>
        <w:t xml:space="preserve"> being </w:t>
      </w:r>
      <w:r w:rsidRPr="00305238">
        <w:rPr>
          <w:lang w:val="en-GB" w:eastAsia="ko-KR"/>
        </w:rPr>
        <w:t>conducted</w:t>
      </w:r>
      <w:r w:rsidRPr="00305238">
        <w:rPr>
          <w:rFonts w:hint="eastAsia"/>
          <w:lang w:val="en-GB" w:eastAsia="ko-KR"/>
        </w:rPr>
        <w:t xml:space="preserve"> by ITU-R in order to achieve</w:t>
      </w:r>
      <w:r w:rsidRPr="00305238">
        <w:rPr>
          <w:lang w:val="en-GB" w:eastAsia="ko-KR"/>
        </w:rPr>
        <w:t xml:space="preserve"> compatibility of IMT and BSS (sound) in the frequency band 1 452</w:t>
      </w:r>
      <w:r w:rsidRPr="00305238">
        <w:rPr>
          <w:rFonts w:hint="eastAsia"/>
          <w:lang w:val="en-GB" w:eastAsia="ko-KR"/>
        </w:rPr>
        <w:t>-</w:t>
      </w:r>
      <w:r w:rsidRPr="00305238">
        <w:rPr>
          <w:lang w:val="en-GB" w:eastAsia="ko-KR"/>
        </w:rPr>
        <w:t>1 492 MHz in Regions 1 and 3</w:t>
      </w:r>
      <w:r w:rsidRPr="00305238">
        <w:rPr>
          <w:rFonts w:hint="eastAsia"/>
          <w:lang w:val="en-GB" w:eastAsia="ko-KR"/>
        </w:rPr>
        <w:t xml:space="preserve"> in accordance with </w:t>
      </w:r>
      <w:r w:rsidRPr="00305238">
        <w:rPr>
          <w:lang w:val="en-GB" w:eastAsia="ko-KR"/>
        </w:rPr>
        <w:t xml:space="preserve">Resolution </w:t>
      </w:r>
      <w:r w:rsidRPr="002C57C1">
        <w:rPr>
          <w:b/>
          <w:lang w:val="en-GB" w:eastAsia="ko-KR"/>
        </w:rPr>
        <w:t>761 (WRC-15</w:t>
      </w:r>
      <w:r w:rsidRPr="002C57C1">
        <w:rPr>
          <w:rFonts w:hint="eastAsia"/>
          <w:b/>
          <w:lang w:val="en-GB" w:eastAsia="ko-KR"/>
        </w:rPr>
        <w:t>)</w:t>
      </w:r>
      <w:r w:rsidRPr="00305238">
        <w:rPr>
          <w:rFonts w:hint="eastAsia"/>
          <w:lang w:val="en-GB" w:eastAsia="ko-KR"/>
        </w:rPr>
        <w:t>.</w:t>
      </w:r>
      <w:r w:rsidRPr="00305238">
        <w:rPr>
          <w:lang w:val="en-GB" w:eastAsia="ko-KR"/>
        </w:rPr>
        <w:t xml:space="preserve"> </w:t>
      </w:r>
    </w:p>
    <w:p w14:paraId="71A478C2" w14:textId="77777777" w:rsidR="00013F1D" w:rsidRPr="00305238" w:rsidRDefault="00013F1D" w:rsidP="00305238">
      <w:pPr>
        <w:spacing w:after="120"/>
        <w:rPr>
          <w:lang w:val="en-GB" w:eastAsia="ko-KR"/>
        </w:rPr>
      </w:pPr>
      <w:r>
        <w:rPr>
          <w:lang w:val="en-GB" w:eastAsia="ko-KR"/>
        </w:rPr>
        <w:t>Appropriate</w:t>
      </w:r>
      <w:r>
        <w:rPr>
          <w:rFonts w:hint="eastAsia"/>
          <w:lang w:val="en-GB" w:eastAsia="ko-KR"/>
        </w:rPr>
        <w:t xml:space="preserve"> regulatory and </w:t>
      </w:r>
      <w:r w:rsidRPr="00305238">
        <w:rPr>
          <w:lang w:val="en-GB" w:eastAsia="ko-KR"/>
        </w:rPr>
        <w:t xml:space="preserve">technical measures </w:t>
      </w:r>
      <w:r w:rsidRPr="00305238">
        <w:rPr>
          <w:rFonts w:hint="eastAsia"/>
          <w:lang w:val="en-GB" w:eastAsia="ko-KR"/>
        </w:rPr>
        <w:t xml:space="preserve">should be developed </w:t>
      </w:r>
      <w:r w:rsidRPr="00305238">
        <w:rPr>
          <w:lang w:val="en-GB" w:eastAsia="ko-KR"/>
        </w:rPr>
        <w:t>to ensure coexistence and compatibility between IMT and BSS (Sound) in the frequency bands 1452 – 1492 MHz</w:t>
      </w:r>
      <w:r w:rsidRPr="00305238">
        <w:rPr>
          <w:rFonts w:hint="eastAsia"/>
          <w:lang w:val="en-GB" w:eastAsia="ko-KR"/>
        </w:rPr>
        <w:t xml:space="preserve"> taking into account the results of ITU-R studies</w:t>
      </w:r>
      <w:r w:rsidRPr="00305238">
        <w:rPr>
          <w:lang w:val="en-GB" w:eastAsia="ko-KR"/>
        </w:rPr>
        <w:t>.</w:t>
      </w:r>
    </w:p>
    <w:p w14:paraId="32E8E207" w14:textId="77777777" w:rsidR="00013F1D" w:rsidRPr="00013F1D" w:rsidRDefault="00013F1D" w:rsidP="00A53B60">
      <w:pPr>
        <w:adjustRightInd w:val="0"/>
        <w:snapToGrid w:val="0"/>
        <w:spacing w:after="120"/>
        <w:rPr>
          <w:lang w:eastAsia="ko-KR"/>
        </w:rPr>
      </w:pPr>
    </w:p>
    <w:p w14:paraId="6E378CE8" w14:textId="77777777" w:rsidR="002A0111" w:rsidRPr="00441526" w:rsidRDefault="002A0111" w:rsidP="00A53B60">
      <w:pPr>
        <w:adjustRightInd w:val="0"/>
        <w:snapToGrid w:val="0"/>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5DAE9D2" w14:textId="7A43D7A0" w:rsidR="002A0111" w:rsidRDefault="000A46DC" w:rsidP="00A53B60">
      <w:pPr>
        <w:adjustRightInd w:val="0"/>
        <w:snapToGrid w:val="0"/>
        <w:spacing w:after="120"/>
        <w:jc w:val="both"/>
        <w:rPr>
          <w:lang w:val="en-NZ" w:eastAsia="ko-KR"/>
        </w:rPr>
      </w:pPr>
      <w:r>
        <w:rPr>
          <w:lang w:val="en-NZ" w:eastAsia="ko-KR"/>
        </w:rPr>
        <w:lastRenderedPageBreak/>
        <w:t>APT members dis</w:t>
      </w:r>
      <w:r>
        <w:rPr>
          <w:rFonts w:hint="eastAsia"/>
          <w:lang w:val="en-NZ" w:eastAsia="ko-KR"/>
        </w:rPr>
        <w:t>c</w:t>
      </w:r>
      <w:r>
        <w:rPr>
          <w:lang w:val="en-NZ" w:eastAsia="ko-KR"/>
        </w:rPr>
        <w:t xml:space="preserve">ussed </w:t>
      </w:r>
      <w:r w:rsidR="000D6870">
        <w:rPr>
          <w:lang w:val="en-NZ" w:eastAsia="ko-KR"/>
        </w:rPr>
        <w:t>regulatory</w:t>
      </w:r>
      <w:r w:rsidR="000D6870">
        <w:rPr>
          <w:rFonts w:hint="eastAsia"/>
          <w:lang w:val="en-NZ" w:eastAsia="ko-KR"/>
        </w:rPr>
        <w:t xml:space="preserve"> and </w:t>
      </w:r>
      <w:r w:rsidRPr="000A46DC">
        <w:rPr>
          <w:rFonts w:hint="eastAsia"/>
          <w:lang w:val="en-NZ" w:eastAsia="ko-KR"/>
        </w:rPr>
        <w:t>technical measures i</w:t>
      </w:r>
      <w:r w:rsidRPr="000A46DC">
        <w:rPr>
          <w:lang w:val="en-NZ" w:eastAsia="ko-KR"/>
        </w:rPr>
        <w:t>n order to resolve this issue</w:t>
      </w:r>
      <w:r w:rsidRPr="000A46DC">
        <w:rPr>
          <w:rFonts w:hint="eastAsia"/>
          <w:lang w:val="en-NZ" w:eastAsia="ko-KR"/>
        </w:rPr>
        <w:t xml:space="preserve"> taking into account the operational requirement</w:t>
      </w:r>
      <w:r w:rsidR="00247A68">
        <w:rPr>
          <w:rFonts w:hint="eastAsia"/>
          <w:lang w:val="en-NZ" w:eastAsia="ko-KR"/>
        </w:rPr>
        <w:t>s</w:t>
      </w:r>
      <w:r w:rsidRPr="000A46DC">
        <w:rPr>
          <w:rFonts w:hint="eastAsia"/>
          <w:lang w:val="en-NZ" w:eastAsia="ko-KR"/>
        </w:rPr>
        <w:t xml:space="preserve"> </w:t>
      </w:r>
      <w:r w:rsidR="00247A68">
        <w:rPr>
          <w:rFonts w:hint="eastAsia"/>
          <w:lang w:val="en-NZ" w:eastAsia="ko-KR"/>
        </w:rPr>
        <w:t xml:space="preserve">and protection </w:t>
      </w:r>
      <w:r w:rsidRPr="000A46DC">
        <w:rPr>
          <w:rFonts w:hint="eastAsia"/>
          <w:lang w:val="en-NZ" w:eastAsia="ko-KR"/>
        </w:rPr>
        <w:t>of both systems.</w:t>
      </w:r>
    </w:p>
    <w:p w14:paraId="53B213AA" w14:textId="4160E055" w:rsidR="00643979" w:rsidRPr="00B13619" w:rsidRDefault="00643979" w:rsidP="00643979">
      <w:pPr>
        <w:adjustRightInd w:val="0"/>
        <w:snapToGrid w:val="0"/>
        <w:spacing w:after="120"/>
        <w:jc w:val="both"/>
        <w:rPr>
          <w:lang w:val="en-NZ" w:eastAsia="ko-KR"/>
        </w:rPr>
      </w:pPr>
      <w:r>
        <w:rPr>
          <w:lang w:val="en-NZ" w:eastAsia="ko-KR"/>
        </w:rPr>
        <w:t xml:space="preserve">About </w:t>
      </w:r>
      <w:r w:rsidRPr="00643979">
        <w:rPr>
          <w:lang w:val="en-NZ" w:eastAsia="ko-KR"/>
        </w:rPr>
        <w:t xml:space="preserve">the </w:t>
      </w:r>
      <w:r w:rsidRPr="00643979">
        <w:rPr>
          <w:lang w:val="en-GB" w:eastAsia="ja-JP"/>
        </w:rPr>
        <w:t>long-term stability for the operation of International Mobile Telecommunications (IMT) mentioned in the</w:t>
      </w:r>
      <w:r>
        <w:rPr>
          <w:lang w:val="en-GB" w:eastAsia="ja-JP"/>
        </w:rPr>
        <w:t xml:space="preserve"> </w:t>
      </w:r>
      <w:r w:rsidRPr="00643979">
        <w:rPr>
          <w:i/>
          <w:lang w:val="en-GB" w:eastAsia="ja-JP"/>
        </w:rPr>
        <w:t>recognizing c)</w:t>
      </w:r>
      <w:r>
        <w:rPr>
          <w:lang w:val="en-GB" w:eastAsia="ja-JP"/>
        </w:rPr>
        <w:t xml:space="preserve"> in the Resolution </w:t>
      </w:r>
      <w:r w:rsidRPr="00643979">
        <w:rPr>
          <w:b/>
          <w:lang w:val="en-GB" w:eastAsia="ja-JP"/>
        </w:rPr>
        <w:t>761(WRC-15)</w:t>
      </w:r>
      <w:r>
        <w:rPr>
          <w:lang w:val="en-GB" w:eastAsia="ja-JP"/>
        </w:rPr>
        <w:t xml:space="preserve">, some APT members </w:t>
      </w:r>
      <w:r w:rsidRPr="00B13619">
        <w:rPr>
          <w:lang w:val="en-GB" w:eastAsia="ja-JP"/>
        </w:rPr>
        <w:t xml:space="preserve">believe that </w:t>
      </w:r>
      <w:r w:rsidR="00122682" w:rsidRPr="00B13619">
        <w:rPr>
          <w:lang w:val="en-GB" w:eastAsia="ja-JP"/>
        </w:rPr>
        <w:t>current Radio Regulation</w:t>
      </w:r>
      <w:r w:rsidR="002C57C1">
        <w:rPr>
          <w:lang w:val="en-GB" w:eastAsia="ja-JP"/>
        </w:rPr>
        <w:t>s</w:t>
      </w:r>
      <w:r w:rsidR="00122682" w:rsidRPr="00B13619">
        <w:rPr>
          <w:lang w:val="en-GB" w:eastAsia="ja-JP"/>
        </w:rPr>
        <w:t xml:space="preserve"> and technical conditions could sufficiently ensure the compatibility of IMT </w:t>
      </w:r>
      <w:r w:rsidR="00122682" w:rsidRPr="00B13619">
        <w:rPr>
          <w:lang w:val="en-NZ" w:eastAsia="ko-KR"/>
        </w:rPr>
        <w:t>and BSS (sound) service for a long-term period.</w:t>
      </w:r>
      <w:r w:rsidRPr="00B13619">
        <w:rPr>
          <w:lang w:val="en-NZ" w:eastAsia="ko-KR"/>
        </w:rPr>
        <w:t xml:space="preserve"> </w:t>
      </w:r>
      <w:r w:rsidR="00A272A5">
        <w:rPr>
          <w:lang w:val="en-NZ" w:eastAsia="ko-KR"/>
        </w:rPr>
        <w:t>On the other hand</w:t>
      </w:r>
      <w:r w:rsidRPr="00B13619">
        <w:rPr>
          <w:lang w:val="en-NZ" w:eastAsia="ko-KR"/>
        </w:rPr>
        <w:t xml:space="preserve">, other APT members have a view that the stipulation of </w:t>
      </w:r>
      <w:proofErr w:type="spellStart"/>
      <w:r w:rsidRPr="00B13619">
        <w:rPr>
          <w:lang w:val="en-NZ" w:eastAsia="ko-KR"/>
        </w:rPr>
        <w:t>pfd</w:t>
      </w:r>
      <w:proofErr w:type="spellEnd"/>
      <w:r w:rsidRPr="00B13619">
        <w:rPr>
          <w:lang w:val="en-NZ" w:eastAsia="ko-KR"/>
        </w:rPr>
        <w:t xml:space="preserve"> limit(s) for BSS (sound) space stations should be established to ensure the </w:t>
      </w:r>
      <w:r w:rsidRPr="00B13619">
        <w:rPr>
          <w:lang w:val="en-GB" w:eastAsia="ja-JP"/>
        </w:rPr>
        <w:t>long-term stability of IMT</w:t>
      </w:r>
      <w:r w:rsidR="00C013F2">
        <w:rPr>
          <w:lang w:val="en-GB" w:eastAsia="ja-JP"/>
        </w:rPr>
        <w:t>.</w:t>
      </w:r>
    </w:p>
    <w:p w14:paraId="217F4BD7" w14:textId="404BD61C" w:rsidR="005206E9" w:rsidRPr="00B13619" w:rsidRDefault="005206E9" w:rsidP="00A53B60">
      <w:pPr>
        <w:adjustRightInd w:val="0"/>
        <w:snapToGrid w:val="0"/>
        <w:spacing w:after="120"/>
        <w:rPr>
          <w:b/>
          <w:lang w:val="en-NZ" w:eastAsia="ko-KR"/>
        </w:rPr>
      </w:pPr>
    </w:p>
    <w:p w14:paraId="73A40A65" w14:textId="3AC1379D" w:rsidR="002A0111" w:rsidRPr="00B13619" w:rsidRDefault="002A0111" w:rsidP="00A53B60">
      <w:pPr>
        <w:adjustRightInd w:val="0"/>
        <w:snapToGrid w:val="0"/>
        <w:spacing w:after="120"/>
        <w:jc w:val="both"/>
        <w:rPr>
          <w:b/>
          <w:lang w:val="en-NZ" w:eastAsia="ko-KR"/>
        </w:rPr>
      </w:pPr>
      <w:r w:rsidRPr="00B13619">
        <w:rPr>
          <w:b/>
          <w:lang w:val="en-NZ" w:eastAsia="ko-KR"/>
        </w:rPr>
        <w:t xml:space="preserve">4. </w:t>
      </w:r>
      <w:r w:rsidRPr="00B13619">
        <w:rPr>
          <w:b/>
          <w:lang w:val="en-NZ" w:eastAsia="ko-KR"/>
        </w:rPr>
        <w:tab/>
        <w:t>APT Preliminary View(s)</w:t>
      </w:r>
    </w:p>
    <w:p w14:paraId="50A3D175" w14:textId="760475D6" w:rsidR="002A0111" w:rsidRPr="00B13619" w:rsidRDefault="008B29C1" w:rsidP="00A53B60">
      <w:pPr>
        <w:adjustRightInd w:val="0"/>
        <w:snapToGrid w:val="0"/>
        <w:spacing w:after="120"/>
        <w:jc w:val="both"/>
        <w:rPr>
          <w:rFonts w:eastAsia="Malgun Gothic"/>
          <w:b/>
          <w:lang w:val="en-GB" w:eastAsia="ko-KR"/>
        </w:rPr>
      </w:pPr>
      <w:r w:rsidRPr="00B13619">
        <w:rPr>
          <w:rFonts w:hint="eastAsia"/>
          <w:lang w:val="en-NZ" w:eastAsia="ko-KR"/>
        </w:rPr>
        <w:t xml:space="preserve">APT members </w:t>
      </w:r>
      <w:r w:rsidRPr="00B13619">
        <w:rPr>
          <w:rFonts w:eastAsiaTheme="minorEastAsia"/>
          <w:lang w:val="en-GB" w:eastAsia="ja-JP"/>
        </w:rPr>
        <w:t xml:space="preserve">support </w:t>
      </w:r>
      <w:r w:rsidRPr="00B13619">
        <w:rPr>
          <w:rFonts w:eastAsiaTheme="minorEastAsia" w:hint="eastAsia"/>
          <w:lang w:val="en-GB" w:eastAsia="ja-JP"/>
        </w:rPr>
        <w:t xml:space="preserve">the </w:t>
      </w:r>
      <w:r w:rsidRPr="00B13619">
        <w:rPr>
          <w:rFonts w:eastAsiaTheme="minorEastAsia"/>
          <w:lang w:val="en-GB" w:eastAsia="ja-JP"/>
        </w:rPr>
        <w:t>regulatory and technical studies</w:t>
      </w:r>
      <w:r w:rsidRPr="00B13619">
        <w:rPr>
          <w:rFonts w:eastAsiaTheme="minorEastAsia" w:hint="eastAsia"/>
          <w:lang w:val="en-GB" w:eastAsia="ja-JP"/>
        </w:rPr>
        <w:t xml:space="preserve"> being </w:t>
      </w:r>
      <w:r w:rsidRPr="00B13619">
        <w:rPr>
          <w:rFonts w:eastAsiaTheme="minorEastAsia"/>
          <w:lang w:val="en-GB" w:eastAsia="ja-JP"/>
        </w:rPr>
        <w:t>conducted</w:t>
      </w:r>
      <w:r w:rsidRPr="00B13619">
        <w:rPr>
          <w:rFonts w:eastAsiaTheme="minorEastAsia" w:hint="eastAsia"/>
          <w:lang w:val="en-GB" w:eastAsia="ja-JP"/>
        </w:rPr>
        <w:t xml:space="preserve"> by ITU-R in order to achieve</w:t>
      </w:r>
      <w:r w:rsidRPr="00B13619">
        <w:rPr>
          <w:rFonts w:eastAsiaTheme="minorEastAsia"/>
          <w:lang w:val="en-GB" w:eastAsia="ja-JP"/>
        </w:rPr>
        <w:t xml:space="preserve"> compatibility of IMT and BSS (sound) in the frequency band 1 452</w:t>
      </w:r>
      <w:r w:rsidRPr="00B13619">
        <w:rPr>
          <w:rFonts w:eastAsiaTheme="minorEastAsia" w:hint="eastAsia"/>
          <w:lang w:val="en-GB" w:eastAsia="ja-JP"/>
        </w:rPr>
        <w:t>-</w:t>
      </w:r>
      <w:r w:rsidRPr="00B13619">
        <w:rPr>
          <w:rFonts w:eastAsiaTheme="minorEastAsia"/>
          <w:lang w:val="en-GB" w:eastAsia="ja-JP"/>
        </w:rPr>
        <w:t>1 492 MHz in Regions 1 and 3</w:t>
      </w:r>
      <w:r w:rsidRPr="00B13619">
        <w:rPr>
          <w:rFonts w:eastAsia="Malgun Gothic" w:hint="eastAsia"/>
          <w:lang w:val="en-GB" w:eastAsia="ko-KR"/>
        </w:rPr>
        <w:t xml:space="preserve"> in accordance with </w:t>
      </w:r>
      <w:r w:rsidRPr="00B13619">
        <w:rPr>
          <w:rFonts w:eastAsiaTheme="minorEastAsia"/>
          <w:lang w:val="en-GB" w:eastAsia="ja-JP"/>
        </w:rPr>
        <w:t xml:space="preserve">Resolution </w:t>
      </w:r>
      <w:r w:rsidRPr="00B13619">
        <w:rPr>
          <w:rFonts w:eastAsiaTheme="minorEastAsia"/>
          <w:b/>
          <w:lang w:val="en-GB" w:eastAsia="ja-JP"/>
        </w:rPr>
        <w:t>761 (WRC-15</w:t>
      </w:r>
      <w:r w:rsidRPr="00B13619">
        <w:rPr>
          <w:rFonts w:eastAsia="Malgun Gothic" w:hint="eastAsia"/>
          <w:b/>
          <w:lang w:val="en-GB" w:eastAsia="ko-KR"/>
        </w:rPr>
        <w:t>).</w:t>
      </w:r>
    </w:p>
    <w:p w14:paraId="50DF79E5" w14:textId="68964C34" w:rsidR="009A5295" w:rsidRPr="005E3A0A" w:rsidRDefault="008E3802" w:rsidP="00A53B60">
      <w:pPr>
        <w:adjustRightInd w:val="0"/>
        <w:snapToGrid w:val="0"/>
        <w:spacing w:after="120"/>
        <w:jc w:val="both"/>
        <w:rPr>
          <w:rFonts w:eastAsiaTheme="minorEastAsia"/>
          <w:lang w:val="en-GB" w:eastAsia="zh-CN"/>
        </w:rPr>
      </w:pPr>
      <w:r w:rsidRPr="00B13619">
        <w:rPr>
          <w:rFonts w:eastAsia="Malgun Gothic"/>
          <w:lang w:val="en-GB" w:eastAsia="ko-KR"/>
        </w:rPr>
        <w:t>No APT member</w:t>
      </w:r>
      <w:r w:rsidR="009313F3" w:rsidRPr="00B13619">
        <w:rPr>
          <w:rFonts w:eastAsia="Malgun Gothic"/>
          <w:lang w:val="en-GB" w:eastAsia="ko-KR"/>
        </w:rPr>
        <w:t xml:space="preserve"> support</w:t>
      </w:r>
      <w:r w:rsidRPr="00B13619">
        <w:rPr>
          <w:rFonts w:eastAsia="Malgun Gothic"/>
          <w:lang w:val="en-GB" w:eastAsia="ko-KR"/>
        </w:rPr>
        <w:t>s</w:t>
      </w:r>
      <w:r w:rsidR="003C6A68">
        <w:rPr>
          <w:rFonts w:eastAsia="Malgun Gothic"/>
          <w:lang w:val="en-GB" w:eastAsia="ko-KR"/>
        </w:rPr>
        <w:t xml:space="preserve"> the possible </w:t>
      </w:r>
      <w:r w:rsidR="009313F3" w:rsidRPr="00B13619">
        <w:rPr>
          <w:rFonts w:eastAsia="Malgun Gothic"/>
          <w:lang w:val="en-GB" w:eastAsia="ko-KR"/>
        </w:rPr>
        <w:t xml:space="preserve">actions 2, </w:t>
      </w:r>
      <w:r w:rsidR="00122682" w:rsidRPr="00B13619">
        <w:rPr>
          <w:rFonts w:eastAsia="Malgun Gothic"/>
          <w:lang w:val="en-GB" w:eastAsia="ko-KR"/>
        </w:rPr>
        <w:t xml:space="preserve">5 and 6 </w:t>
      </w:r>
      <w:r w:rsidR="009313F3" w:rsidRPr="00B13619">
        <w:rPr>
          <w:rFonts w:eastAsia="Malgun Gothic"/>
          <w:lang w:val="en-GB" w:eastAsia="ko-KR"/>
        </w:rPr>
        <w:t xml:space="preserve">among </w:t>
      </w:r>
      <w:r w:rsidR="00643979" w:rsidRPr="00B13619">
        <w:rPr>
          <w:rFonts w:eastAsia="Malgun Gothic"/>
          <w:lang w:val="en-GB" w:eastAsia="ko-KR"/>
        </w:rPr>
        <w:t>the 8</w:t>
      </w:r>
      <w:r w:rsidR="003C6A68">
        <w:rPr>
          <w:rFonts w:eastAsia="Malgun Gothic"/>
          <w:lang w:val="en-GB" w:eastAsia="ko-KR"/>
        </w:rPr>
        <w:t xml:space="preserve"> of possible</w:t>
      </w:r>
      <w:r w:rsidR="009313F3" w:rsidRPr="00B13619">
        <w:rPr>
          <w:rFonts w:eastAsia="Malgun Gothic"/>
          <w:lang w:val="en-GB" w:eastAsia="ko-KR"/>
        </w:rPr>
        <w:t xml:space="preserve"> </w:t>
      </w:r>
      <w:r w:rsidRPr="00B13619">
        <w:rPr>
          <w:rFonts w:eastAsia="Malgun Gothic"/>
          <w:lang w:val="en-GB" w:eastAsia="ko-KR"/>
        </w:rPr>
        <w:t>action</w:t>
      </w:r>
      <w:r w:rsidRPr="00B13619">
        <w:rPr>
          <w:rFonts w:eastAsia="Malgun Gothic" w:hint="eastAsia"/>
          <w:lang w:val="en-GB" w:eastAsia="ko-KR"/>
        </w:rPr>
        <w:t>s</w:t>
      </w:r>
      <w:r w:rsidR="009313F3" w:rsidRPr="00B13619">
        <w:rPr>
          <w:rFonts w:eastAsia="Malgun Gothic"/>
          <w:lang w:val="en-GB" w:eastAsia="ko-KR"/>
        </w:rPr>
        <w:t xml:space="preserve"> in the draft CPM Report</w:t>
      </w:r>
      <w:r w:rsidR="00F84557" w:rsidRPr="00B13619">
        <w:rPr>
          <w:rFonts w:eastAsia="Malgun Gothic"/>
          <w:lang w:val="en-GB" w:eastAsia="ko-KR"/>
        </w:rPr>
        <w:t>.</w:t>
      </w:r>
    </w:p>
    <w:p w14:paraId="37A74514" w14:textId="77777777" w:rsidR="002A0111" w:rsidRPr="00441526" w:rsidRDefault="002A0111" w:rsidP="00A53B60">
      <w:pPr>
        <w:adjustRightInd w:val="0"/>
        <w:snapToGrid w:val="0"/>
        <w:spacing w:after="120"/>
        <w:rPr>
          <w:lang w:val="en-NZ"/>
        </w:rPr>
      </w:pPr>
    </w:p>
    <w:p w14:paraId="2711E65C" w14:textId="77777777" w:rsidR="002A0111" w:rsidRPr="00441526" w:rsidRDefault="002A0111" w:rsidP="00A53B60">
      <w:pPr>
        <w:adjustRightInd w:val="0"/>
        <w:snapToGrid w:val="0"/>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54C81684" w14:textId="55BC1A7C" w:rsidR="000A46DC" w:rsidRPr="00122682" w:rsidRDefault="000A46DC" w:rsidP="00A53B60">
      <w:pPr>
        <w:adjustRightInd w:val="0"/>
        <w:snapToGrid w:val="0"/>
        <w:spacing w:after="120"/>
        <w:rPr>
          <w:lang w:val="en-NZ" w:eastAsia="ko-KR"/>
        </w:rPr>
      </w:pPr>
      <w:r w:rsidRPr="000A46DC">
        <w:rPr>
          <w:rFonts w:hint="eastAsia"/>
          <w:lang w:val="en-NZ" w:eastAsia="ko-KR"/>
        </w:rPr>
        <w:t xml:space="preserve">Some APT members have a view that the </w:t>
      </w:r>
      <w:proofErr w:type="spellStart"/>
      <w:r w:rsidRPr="000A46DC">
        <w:rPr>
          <w:rFonts w:hint="eastAsia"/>
          <w:lang w:val="en-NZ" w:eastAsia="ko-KR"/>
        </w:rPr>
        <w:t>pfd</w:t>
      </w:r>
      <w:proofErr w:type="spellEnd"/>
      <w:r w:rsidRPr="000A46DC">
        <w:rPr>
          <w:rFonts w:hint="eastAsia"/>
          <w:lang w:val="en-NZ" w:eastAsia="ko-KR"/>
        </w:rPr>
        <w:t xml:space="preserve"> limit for BSS</w:t>
      </w:r>
      <w:r w:rsidR="009F1067">
        <w:rPr>
          <w:rFonts w:hint="eastAsia"/>
          <w:lang w:val="en-NZ" w:eastAsia="ko-KR"/>
        </w:rPr>
        <w:t xml:space="preserve"> </w:t>
      </w:r>
      <w:r w:rsidRPr="000A46DC">
        <w:rPr>
          <w:rFonts w:hint="eastAsia"/>
          <w:lang w:val="en-NZ" w:eastAsia="ko-KR"/>
        </w:rPr>
        <w:t>(sound) should be established in the Table</w:t>
      </w:r>
      <w:r w:rsidR="002C57C1">
        <w:rPr>
          <w:lang w:val="en-NZ" w:eastAsia="ko-KR"/>
        </w:rPr>
        <w:t xml:space="preserve"> </w:t>
      </w:r>
      <w:r w:rsidRPr="000A46DC">
        <w:rPr>
          <w:rFonts w:hint="eastAsia"/>
          <w:lang w:val="en-NZ" w:eastAsia="ko-KR"/>
        </w:rPr>
        <w:t xml:space="preserve">21-4 of Article 21 in the Radio </w:t>
      </w:r>
      <w:r w:rsidRPr="00122682">
        <w:rPr>
          <w:rFonts w:hint="eastAsia"/>
          <w:lang w:val="en-NZ" w:eastAsia="ko-KR"/>
        </w:rPr>
        <w:t>Regulations to ensure the protection of IMT</w:t>
      </w:r>
      <w:r w:rsidR="00A272A5">
        <w:rPr>
          <w:rFonts w:eastAsia="MS Mincho" w:hint="eastAsia"/>
          <w:lang w:val="en-NZ" w:eastAsia="ja-JP"/>
        </w:rPr>
        <w:t>, and support the possible action 3 with Alternative 1 or 2 in the draft CPM Report, accordingly</w:t>
      </w:r>
      <w:proofErr w:type="gramStart"/>
      <w:r w:rsidR="00A272A5">
        <w:rPr>
          <w:lang w:val="en-NZ" w:eastAsia="ko-KR"/>
        </w:rPr>
        <w:t>.</w:t>
      </w:r>
      <w:r w:rsidR="00F84557" w:rsidRPr="00122682">
        <w:rPr>
          <w:lang w:val="en-NZ" w:eastAsia="ko-KR"/>
        </w:rPr>
        <w:t>.</w:t>
      </w:r>
      <w:proofErr w:type="gramEnd"/>
    </w:p>
    <w:p w14:paraId="0D3ED25B" w14:textId="5F8F0F2A" w:rsidR="00B1405F" w:rsidRDefault="00122682" w:rsidP="00122682">
      <w:pPr>
        <w:adjustRightInd w:val="0"/>
        <w:snapToGrid w:val="0"/>
        <w:spacing w:after="120"/>
        <w:rPr>
          <w:rFonts w:eastAsia="Malgun Gothic"/>
          <w:lang w:eastAsia="ko-KR"/>
        </w:rPr>
      </w:pPr>
      <w:r w:rsidRPr="00122682">
        <w:rPr>
          <w:rFonts w:hint="eastAsia"/>
          <w:lang w:val="en-NZ" w:eastAsia="ko-KR"/>
        </w:rPr>
        <w:t xml:space="preserve">Some other APT members have a </w:t>
      </w:r>
      <w:r w:rsidRPr="00122682">
        <w:rPr>
          <w:lang w:val="en-NZ" w:eastAsia="ko-KR"/>
        </w:rPr>
        <w:t>view</w:t>
      </w:r>
      <w:r w:rsidRPr="00122682">
        <w:rPr>
          <w:rFonts w:hint="eastAsia"/>
          <w:lang w:val="en-NZ" w:eastAsia="ko-KR"/>
        </w:rPr>
        <w:t xml:space="preserve"> that </w:t>
      </w:r>
      <w:r w:rsidRPr="00122682">
        <w:rPr>
          <w:rFonts w:eastAsia="SimSun"/>
          <w:lang w:eastAsia="zh-CN"/>
        </w:rPr>
        <w:t xml:space="preserve">the </w:t>
      </w:r>
      <w:bookmarkStart w:id="0" w:name="_Hlk534791019"/>
      <w:r w:rsidRPr="00122682">
        <w:rPr>
          <w:rFonts w:eastAsia="SimSun"/>
          <w:lang w:eastAsia="zh-CN"/>
        </w:rPr>
        <w:t>current Radio Regulation and technical conditions</w:t>
      </w:r>
      <w:bookmarkEnd w:id="0"/>
      <w:r w:rsidRPr="00122682">
        <w:rPr>
          <w:rFonts w:eastAsia="SimSun"/>
          <w:lang w:eastAsia="zh-CN"/>
        </w:rPr>
        <w:t xml:space="preserve"> could sufficiently ensure compatibility of IMT and broadcasting-s</w:t>
      </w:r>
      <w:r w:rsidR="00C27D72">
        <w:rPr>
          <w:rFonts w:eastAsia="SimSun"/>
          <w:lang w:eastAsia="zh-CN"/>
        </w:rPr>
        <w:t xml:space="preserve">atellite service (BSS) (sound) </w:t>
      </w:r>
      <w:r w:rsidRPr="00122682">
        <w:rPr>
          <w:rFonts w:eastAsia="SimSun"/>
          <w:lang w:eastAsia="zh-CN"/>
        </w:rPr>
        <w:t>in the frequency band 1 452-1 492 MHz in Region</w:t>
      </w:r>
      <w:r w:rsidR="002C57C1">
        <w:rPr>
          <w:rFonts w:eastAsia="SimSun"/>
          <w:lang w:eastAsia="zh-CN"/>
        </w:rPr>
        <w:t>s</w:t>
      </w:r>
      <w:r w:rsidRPr="00122682">
        <w:rPr>
          <w:rFonts w:eastAsia="SimSun"/>
          <w:lang w:eastAsia="zh-CN"/>
        </w:rPr>
        <w:t xml:space="preserve"> 1 and 3 </w:t>
      </w:r>
      <w:r w:rsidRPr="00122682">
        <w:rPr>
          <w:rFonts w:eastAsia="Malgun Gothic" w:hint="eastAsia"/>
          <w:lang w:eastAsia="ko-KR"/>
        </w:rPr>
        <w:t xml:space="preserve">without the </w:t>
      </w:r>
      <w:proofErr w:type="spellStart"/>
      <w:r w:rsidRPr="00122682">
        <w:rPr>
          <w:rFonts w:eastAsia="SimSun"/>
          <w:lang w:eastAsia="zh-CN"/>
        </w:rPr>
        <w:t>pfd</w:t>
      </w:r>
      <w:proofErr w:type="spellEnd"/>
      <w:r w:rsidRPr="00122682">
        <w:rPr>
          <w:rFonts w:eastAsia="SimSun"/>
          <w:lang w:eastAsia="zh-CN"/>
        </w:rPr>
        <w:t xml:space="preserve"> mandatory limitation for IMT and BSS (sound) systems</w:t>
      </w:r>
      <w:bookmarkStart w:id="1" w:name="_Hlk534785967"/>
      <w:r w:rsidR="00A272A5">
        <w:rPr>
          <w:rFonts w:eastAsia="MS Mincho" w:hint="eastAsia"/>
          <w:lang w:eastAsia="ja-JP"/>
        </w:rPr>
        <w:t>, and support the possible action 1 in the draft CPM Report</w:t>
      </w:r>
      <w:bookmarkEnd w:id="1"/>
      <w:r w:rsidR="00A272A5">
        <w:rPr>
          <w:rFonts w:eastAsia="Malgun Gothic" w:hint="eastAsia"/>
          <w:lang w:eastAsia="ko-KR"/>
        </w:rPr>
        <w:t>.</w:t>
      </w:r>
    </w:p>
    <w:p w14:paraId="22B48A84" w14:textId="3C864DC5" w:rsidR="00FB3B13" w:rsidRDefault="00305238" w:rsidP="00122682">
      <w:pPr>
        <w:adjustRightInd w:val="0"/>
        <w:snapToGrid w:val="0"/>
        <w:spacing w:after="120"/>
        <w:rPr>
          <w:rFonts w:eastAsia="Malgun Gothic"/>
          <w:lang w:eastAsia="ko-KR"/>
        </w:rPr>
      </w:pPr>
      <w:r>
        <w:rPr>
          <w:rFonts w:eastAsia="Malgun Gothic"/>
          <w:lang w:eastAsia="ko-KR"/>
        </w:rPr>
        <w:t>Possible action</w:t>
      </w:r>
      <w:r w:rsidR="002C57C1">
        <w:rPr>
          <w:rFonts w:eastAsia="Malgun Gothic"/>
          <w:lang w:eastAsia="ko-KR"/>
        </w:rPr>
        <w:t>s</w:t>
      </w:r>
      <w:r>
        <w:rPr>
          <w:rFonts w:eastAsia="Malgun Gothic"/>
          <w:lang w:eastAsia="ko-KR"/>
        </w:rPr>
        <w:t xml:space="preserve"> 3 with Alternative 3</w:t>
      </w:r>
      <w:r w:rsidR="00FB3B13">
        <w:rPr>
          <w:rFonts w:eastAsia="Malgun Gothic"/>
          <w:lang w:eastAsia="ko-KR"/>
        </w:rPr>
        <w:t xml:space="preserve">, 4, 7 and 8 </w:t>
      </w:r>
      <w:r>
        <w:rPr>
          <w:rFonts w:eastAsia="MS Mincho" w:hint="eastAsia"/>
          <w:lang w:val="en-NZ" w:eastAsia="ja-JP"/>
        </w:rPr>
        <w:t>in the draft CPM Report</w:t>
      </w:r>
      <w:r>
        <w:rPr>
          <w:rFonts w:eastAsia="Malgun Gothic"/>
          <w:lang w:eastAsia="ko-KR"/>
        </w:rPr>
        <w:t xml:space="preserve"> </w:t>
      </w:r>
      <w:r w:rsidR="00FB3B13">
        <w:rPr>
          <w:rFonts w:eastAsia="Malgun Gothic"/>
          <w:lang w:eastAsia="ko-KR"/>
        </w:rPr>
        <w:t>are under consideration by some APT members to ensure the compatibility between BSS (sound) and IMT.</w:t>
      </w:r>
    </w:p>
    <w:p w14:paraId="283834E8" w14:textId="091AEB90" w:rsidR="00122682" w:rsidRPr="000A46DC" w:rsidRDefault="00B1405F" w:rsidP="005E3A0A">
      <w:pPr>
        <w:adjustRightInd w:val="0"/>
        <w:snapToGrid w:val="0"/>
        <w:spacing w:after="120"/>
        <w:jc w:val="both"/>
        <w:rPr>
          <w:rFonts w:eastAsia="Malgun Gothic"/>
          <w:lang w:val="en-NZ" w:eastAsia="ko-KR"/>
        </w:rPr>
      </w:pPr>
      <w:r>
        <w:rPr>
          <w:rFonts w:eastAsia="Malgun Gothic"/>
          <w:lang w:eastAsia="ko-KR"/>
        </w:rPr>
        <w:t xml:space="preserve">Some APT members are also of view that </w:t>
      </w:r>
      <w:r>
        <w:rPr>
          <w:rFonts w:eastAsia="Malgun Gothic"/>
          <w:lang w:val="en-GB" w:eastAsia="ko-KR"/>
        </w:rPr>
        <w:t>neither the terrestrial nor space services should impose any undue constraints</w:t>
      </w:r>
      <w:r>
        <w:rPr>
          <w:rFonts w:eastAsia="Malgun Gothic" w:hint="eastAsia"/>
          <w:lang w:val="en-GB" w:eastAsia="ko-KR"/>
        </w:rPr>
        <w:t xml:space="preserve"> </w:t>
      </w:r>
      <w:r>
        <w:rPr>
          <w:rFonts w:eastAsia="Malgun Gothic"/>
          <w:lang w:val="en-GB" w:eastAsia="ko-KR"/>
        </w:rPr>
        <w:t>on the</w:t>
      </w:r>
      <w:r>
        <w:rPr>
          <w:rFonts w:eastAsia="Malgun Gothic" w:hint="eastAsia"/>
          <w:lang w:val="en-GB" w:eastAsia="ko-KR"/>
        </w:rPr>
        <w:t xml:space="preserve"> </w:t>
      </w:r>
      <w:r>
        <w:rPr>
          <w:rFonts w:eastAsia="Malgun Gothic"/>
          <w:lang w:val="en-GB" w:eastAsia="ko-KR"/>
        </w:rPr>
        <w:t>services to which the frequency band is allocated.</w:t>
      </w:r>
    </w:p>
    <w:p w14:paraId="2B8D4DB9" w14:textId="77777777" w:rsidR="005206E9" w:rsidRPr="00122682" w:rsidRDefault="005206E9" w:rsidP="00A53B60">
      <w:pPr>
        <w:adjustRightInd w:val="0"/>
        <w:snapToGrid w:val="0"/>
        <w:spacing w:after="120"/>
        <w:rPr>
          <w:lang w:val="en-NZ"/>
        </w:rPr>
      </w:pPr>
    </w:p>
    <w:p w14:paraId="280E9D5D" w14:textId="77777777" w:rsidR="002A0111" w:rsidRPr="00441526" w:rsidRDefault="002A0111" w:rsidP="00A53B60">
      <w:pPr>
        <w:adjustRightInd w:val="0"/>
        <w:snapToGrid w:val="0"/>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56D7C3F" w14:textId="2B667489" w:rsidR="002A0111" w:rsidRDefault="002F5963" w:rsidP="00A53B60">
      <w:pPr>
        <w:adjustRightInd w:val="0"/>
        <w:snapToGrid w:val="0"/>
        <w:spacing w:after="120"/>
        <w:jc w:val="both"/>
        <w:rPr>
          <w:rFonts w:eastAsia="Malgun Gothic"/>
          <w:lang w:val="en-GB" w:eastAsia="ko-KR"/>
        </w:rPr>
      </w:pPr>
      <w:r>
        <w:rPr>
          <w:lang w:val="en-NZ" w:eastAsia="ko-KR"/>
        </w:rPr>
        <w:t xml:space="preserve">APT Members will develop the </w:t>
      </w:r>
      <w:r w:rsidR="00670784">
        <w:rPr>
          <w:lang w:val="en-NZ" w:eastAsia="ko-KR"/>
        </w:rPr>
        <w:t xml:space="preserve">Preliminary </w:t>
      </w:r>
      <w:r>
        <w:rPr>
          <w:lang w:val="en-NZ" w:eastAsia="ko-KR"/>
        </w:rPr>
        <w:t>APT common proposal (</w:t>
      </w:r>
      <w:r w:rsidR="00670784">
        <w:rPr>
          <w:lang w:val="en-NZ" w:eastAsia="ko-KR"/>
        </w:rPr>
        <w:t>P</w:t>
      </w:r>
      <w:r>
        <w:rPr>
          <w:lang w:val="en-NZ" w:eastAsia="ko-KR"/>
        </w:rPr>
        <w:t xml:space="preserve">ACP) to achieve </w:t>
      </w:r>
      <w:r w:rsidR="000A46DC" w:rsidRPr="000A46DC">
        <w:rPr>
          <w:rFonts w:eastAsiaTheme="minorEastAsia"/>
          <w:lang w:val="en-GB" w:eastAsia="ja-JP"/>
        </w:rPr>
        <w:t xml:space="preserve">compatibility </w:t>
      </w:r>
      <w:r w:rsidR="00C013F2">
        <w:rPr>
          <w:rFonts w:eastAsiaTheme="minorEastAsia"/>
          <w:lang w:val="en-GB" w:eastAsia="ja-JP"/>
        </w:rPr>
        <w:t>between</w:t>
      </w:r>
      <w:r w:rsidR="00C013F2" w:rsidRPr="000A46DC">
        <w:rPr>
          <w:rFonts w:eastAsiaTheme="minorEastAsia"/>
          <w:lang w:val="en-GB" w:eastAsia="ja-JP"/>
        </w:rPr>
        <w:t xml:space="preserve"> </w:t>
      </w:r>
      <w:r w:rsidR="000A46DC" w:rsidRPr="000A46DC">
        <w:rPr>
          <w:rFonts w:eastAsiaTheme="minorEastAsia"/>
          <w:lang w:val="en-GB" w:eastAsia="ja-JP"/>
        </w:rPr>
        <w:t>IMT and BSS (sound) in the frequency band 1 452</w:t>
      </w:r>
      <w:r w:rsidR="000A46DC" w:rsidRPr="000A46DC">
        <w:rPr>
          <w:rFonts w:eastAsiaTheme="minorEastAsia" w:hint="eastAsia"/>
          <w:lang w:val="en-GB" w:eastAsia="ja-JP"/>
        </w:rPr>
        <w:t>-</w:t>
      </w:r>
      <w:r w:rsidR="000A46DC" w:rsidRPr="000A46DC">
        <w:rPr>
          <w:rFonts w:eastAsiaTheme="minorEastAsia"/>
          <w:lang w:val="en-GB" w:eastAsia="ja-JP"/>
        </w:rPr>
        <w:t>1 492 MHz in Regions 1 and 3</w:t>
      </w:r>
      <w:r w:rsidR="00F84557">
        <w:rPr>
          <w:rFonts w:eastAsiaTheme="minorEastAsia"/>
          <w:lang w:val="en-GB" w:eastAsia="ja-JP"/>
        </w:rPr>
        <w:t>.</w:t>
      </w:r>
    </w:p>
    <w:p w14:paraId="58AC7E30" w14:textId="77777777" w:rsidR="002A0111" w:rsidRPr="00670784" w:rsidRDefault="002A0111" w:rsidP="00A53B60">
      <w:pPr>
        <w:adjustRightInd w:val="0"/>
        <w:snapToGrid w:val="0"/>
        <w:spacing w:after="120"/>
        <w:jc w:val="both"/>
        <w:rPr>
          <w:lang w:val="en-GB"/>
        </w:rPr>
      </w:pPr>
    </w:p>
    <w:p w14:paraId="54A93426" w14:textId="77777777" w:rsidR="003D3D47" w:rsidRDefault="002A0111" w:rsidP="00A53B60">
      <w:pPr>
        <w:adjustRightInd w:val="0"/>
        <w:snapToGrid w:val="0"/>
        <w:spacing w:after="120"/>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78517567" w14:textId="16C7B78E" w:rsidR="00437FA4" w:rsidRPr="00441526" w:rsidRDefault="002A0111" w:rsidP="00F84557">
      <w:pPr>
        <w:adjustRightInd w:val="0"/>
        <w:snapToGrid w:val="0"/>
        <w:spacing w:after="120"/>
        <w:ind w:firstLine="720"/>
        <w:jc w:val="both"/>
        <w:rPr>
          <w:lang w:val="en-NZ"/>
        </w:rPr>
      </w:pPr>
      <w:r w:rsidRPr="006F518F">
        <w:rPr>
          <w:lang w:val="en-NZ"/>
        </w:rPr>
        <w:t>APG1</w:t>
      </w:r>
      <w:r w:rsidR="002F5963">
        <w:rPr>
          <w:lang w:val="en-NZ"/>
        </w:rPr>
        <w:t>9-4</w:t>
      </w:r>
      <w:r w:rsidR="003D3D47">
        <w:rPr>
          <w:lang w:val="en-NZ"/>
        </w:rPr>
        <w:t>)</w:t>
      </w:r>
    </w:p>
    <w:p w14:paraId="3DC33E29" w14:textId="1D0E0FA5" w:rsidR="002A0111" w:rsidRPr="00441526"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6346FD5" w14:textId="37D407E1" w:rsidR="002A0111" w:rsidRPr="00441526"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414F83">
        <w:rPr>
          <w:b/>
          <w:lang w:val="en-NZ" w:eastAsia="ko-KR"/>
        </w:rPr>
        <w:t>Document APG19-</w:t>
      </w:r>
      <w:r w:rsidR="009D6B60">
        <w:rPr>
          <w:rFonts w:hint="eastAsia"/>
          <w:b/>
          <w:lang w:val="en-NZ" w:eastAsia="ko-KR"/>
        </w:rPr>
        <w:t>4</w:t>
      </w:r>
      <w:r w:rsidR="009D6B60">
        <w:rPr>
          <w:b/>
          <w:lang w:val="en-NZ" w:eastAsia="ko-KR"/>
        </w:rPr>
        <w:t>/INP-09(Rev. 1)</w:t>
      </w:r>
    </w:p>
    <w:p w14:paraId="3B982B6F" w14:textId="23216360" w:rsidR="009D6B60" w:rsidRDefault="009D6B60" w:rsidP="00A53B60">
      <w:pPr>
        <w:adjustRightInd w:val="0"/>
        <w:snapToGrid w:val="0"/>
        <w:spacing w:after="120"/>
      </w:pPr>
      <w:r>
        <w:t xml:space="preserve">• No restrictions on the use of IMT applications for the frequency band 1452- 1492 </w:t>
      </w:r>
      <w:proofErr w:type="spellStart"/>
      <w:r>
        <w:t>MHz.</w:t>
      </w:r>
      <w:proofErr w:type="spellEnd"/>
      <w:r>
        <w:t xml:space="preserve"> </w:t>
      </w:r>
    </w:p>
    <w:p w14:paraId="70C0A77E" w14:textId="0F25E393" w:rsidR="009D6B60" w:rsidRPr="008A3CA7" w:rsidRDefault="009D6B60" w:rsidP="00A53B60">
      <w:pPr>
        <w:adjustRightInd w:val="0"/>
        <w:snapToGrid w:val="0"/>
        <w:spacing w:after="120"/>
      </w:pPr>
      <w:r>
        <w:lastRenderedPageBreak/>
        <w:t>• No change to the ITU RR for protection for Broadcasting Satellite Service with proposing setting PFD limits on BSS in Article 21 of the RR or to 5.345 AA of RR to ensure IMT protection</w:t>
      </w:r>
    </w:p>
    <w:p w14:paraId="009628FE" w14:textId="77777777" w:rsidR="002A0111" w:rsidRPr="00441526" w:rsidRDefault="002A0111" w:rsidP="00A53B60">
      <w:pPr>
        <w:adjustRightInd w:val="0"/>
        <w:snapToGrid w:val="0"/>
        <w:spacing w:after="120"/>
        <w:rPr>
          <w:lang w:val="en-NZ"/>
        </w:rPr>
      </w:pPr>
    </w:p>
    <w:p w14:paraId="1BAF4AB4" w14:textId="1C58BBD4" w:rsidR="002A0111" w:rsidRPr="00BD2C10" w:rsidRDefault="005206E9" w:rsidP="00A53B60">
      <w:pPr>
        <w:adjustRightInd w:val="0"/>
        <w:snapToGrid w:val="0"/>
        <w:spacing w:after="120"/>
        <w:jc w:val="both"/>
        <w:rPr>
          <w:b/>
          <w:lang w:val="en-NZ" w:eastAsia="ko-KR"/>
        </w:rPr>
      </w:pPr>
      <w:r w:rsidRPr="00BD2C10">
        <w:rPr>
          <w:b/>
          <w:lang w:val="en-NZ" w:eastAsia="ko-KR"/>
        </w:rPr>
        <w:t>7</w:t>
      </w:r>
      <w:r w:rsidR="002A0111" w:rsidRPr="00BD2C10">
        <w:rPr>
          <w:b/>
          <w:lang w:val="en-NZ" w:eastAsia="ko-KR"/>
        </w:rPr>
        <w:t xml:space="preserve">.1.2 </w:t>
      </w:r>
      <w:r w:rsidR="002A0111" w:rsidRPr="00BD2C10">
        <w:rPr>
          <w:b/>
          <w:lang w:val="en-NZ" w:eastAsia="ko-KR"/>
        </w:rPr>
        <w:tab/>
        <w:t xml:space="preserve">ATU </w:t>
      </w:r>
      <w:r w:rsidR="002A0111" w:rsidRPr="00BD2C10">
        <w:t xml:space="preserve">- </w:t>
      </w:r>
      <w:r w:rsidR="00414F83" w:rsidRPr="00BD2C10">
        <w:rPr>
          <w:b/>
          <w:lang w:val="en-NZ" w:eastAsia="ko-KR"/>
        </w:rPr>
        <w:t xml:space="preserve">Document </w:t>
      </w:r>
      <w:r w:rsidR="009D6B60" w:rsidRPr="00BD2C10">
        <w:rPr>
          <w:b/>
          <w:lang w:val="en-NZ" w:eastAsia="ko-KR"/>
        </w:rPr>
        <w:t>APG19-4/INP-09(Rev. 1)</w:t>
      </w:r>
    </w:p>
    <w:p w14:paraId="66EB8B25" w14:textId="0D49C634" w:rsidR="005206E9" w:rsidRDefault="007948D0" w:rsidP="00A53B60">
      <w:pPr>
        <w:adjustRightInd w:val="0"/>
        <w:snapToGrid w:val="0"/>
        <w:spacing w:after="120"/>
        <w:jc w:val="both"/>
      </w:pPr>
      <w:r w:rsidRPr="00BD2C10">
        <w:t>Not available</w:t>
      </w:r>
      <w:r w:rsidR="009D6B60" w:rsidRPr="00BD2C10">
        <w:t>.</w:t>
      </w:r>
    </w:p>
    <w:p w14:paraId="4B653811" w14:textId="77777777" w:rsidR="002917C8" w:rsidRPr="00247A68" w:rsidRDefault="002917C8" w:rsidP="00A53B60">
      <w:pPr>
        <w:adjustRightInd w:val="0"/>
        <w:snapToGrid w:val="0"/>
        <w:spacing w:after="120"/>
        <w:jc w:val="both"/>
        <w:rPr>
          <w:lang w:eastAsia="ko-KR"/>
        </w:rPr>
      </w:pPr>
      <w:bookmarkStart w:id="2" w:name="_GoBack"/>
      <w:bookmarkEnd w:id="2"/>
    </w:p>
    <w:p w14:paraId="7360EFCD" w14:textId="613C6119" w:rsidR="009D6B60" w:rsidRPr="009D6B60" w:rsidRDefault="005206E9" w:rsidP="009D6B60">
      <w:pPr>
        <w:adjustRightInd w:val="0"/>
        <w:snapToGrid w:val="0"/>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8A3CA7">
        <w:rPr>
          <w:b/>
          <w:lang w:val="en-NZ" w:eastAsia="ko-KR"/>
        </w:rPr>
        <w:t>Document APG19-</w:t>
      </w:r>
      <w:r w:rsidR="009D6B60">
        <w:rPr>
          <w:b/>
          <w:lang w:val="en-NZ" w:eastAsia="ko-KR"/>
        </w:rPr>
        <w:t>4</w:t>
      </w:r>
      <w:r w:rsidR="008A3CA7">
        <w:rPr>
          <w:b/>
          <w:lang w:val="en-NZ" w:eastAsia="ko-KR"/>
        </w:rPr>
        <w:t>/INF-</w:t>
      </w:r>
      <w:r w:rsidR="009D6B60">
        <w:rPr>
          <w:b/>
          <w:lang w:val="en-NZ" w:eastAsia="ko-KR"/>
        </w:rPr>
        <w:t>23</w:t>
      </w:r>
    </w:p>
    <w:p w14:paraId="1BBA894E" w14:textId="1954AA10" w:rsidR="009D6B60" w:rsidRPr="00810893" w:rsidRDefault="009D6B60" w:rsidP="009D6B60">
      <w:pPr>
        <w:adjustRightInd w:val="0"/>
        <w:snapToGrid w:val="0"/>
        <w:spacing w:after="120"/>
        <w:rPr>
          <w:lang w:eastAsia="ko-KR"/>
        </w:rPr>
      </w:pPr>
      <w:r>
        <w:t xml:space="preserve">CEPT has </w:t>
      </w:r>
      <w:proofErr w:type="spellStart"/>
      <w:r>
        <w:t>harmonised</w:t>
      </w:r>
      <w:proofErr w:type="spellEnd"/>
      <w:r>
        <w:t xml:space="preserve"> the frequency band 1 452-1 492 MHz for supplemental downlink under the mobile service. Therefore CEPT supports the protection of this application from BSS (sound). CEPT is of the view that the new harmonized solution in the addressed Regions is necessary to be developed. In order to facilitate coexistence between IMT and BSS in the band 1 452-1 492 MHz, the current regulatory procedures governing the relation between BSS and terrestrial services need to be modified by inserting a </w:t>
      </w:r>
      <w:proofErr w:type="spellStart"/>
      <w:r>
        <w:t>pfd</w:t>
      </w:r>
      <w:proofErr w:type="spellEnd"/>
      <w:r>
        <w:t xml:space="preserve"> value of -112 </w:t>
      </w:r>
      <w:proofErr w:type="spellStart"/>
      <w:r>
        <w:t>dBW</w:t>
      </w:r>
      <w:proofErr w:type="spellEnd"/>
      <w:r>
        <w:t xml:space="preserve">/m²/MHz for Regions 1 and 3 in Article 21 RR with the view to provide a more stable (long-term) situation to IMT. RR Appendix 5 needs to be modified so as to enable countries of Regions 1 and 3 that wish to do so to continue to apply coordination under RR No. 9.11. Therefore a </w:t>
      </w:r>
      <w:proofErr w:type="spellStart"/>
      <w:r>
        <w:t>pfd</w:t>
      </w:r>
      <w:proofErr w:type="spellEnd"/>
      <w:r>
        <w:t xml:space="preserve"> limit will apply to BSS in Regions 1 and 3 with respect to all terrestrial services except for countries wishing to continue to apply RR No. 9.11, because of more stringent protection requirement (e.g. in order to protect aeronautical telemetry systems (ATS)).</w:t>
      </w:r>
    </w:p>
    <w:p w14:paraId="3B6F1441" w14:textId="77777777" w:rsidR="002A0111" w:rsidRPr="00441526" w:rsidRDefault="002A0111" w:rsidP="00A53B60">
      <w:pPr>
        <w:adjustRightInd w:val="0"/>
        <w:snapToGrid w:val="0"/>
        <w:spacing w:after="120"/>
        <w:rPr>
          <w:lang w:val="en-NZ"/>
        </w:rPr>
      </w:pPr>
    </w:p>
    <w:p w14:paraId="2F68DA08" w14:textId="5B688493" w:rsidR="002A0111" w:rsidRPr="00441526"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9D6B60">
        <w:rPr>
          <w:b/>
          <w:lang w:val="en-NZ" w:eastAsia="ko-KR"/>
        </w:rPr>
        <w:t>Document APG19-4</w:t>
      </w:r>
      <w:r w:rsidR="002A0111" w:rsidRPr="00441526">
        <w:rPr>
          <w:b/>
          <w:lang w:val="en-NZ" w:eastAsia="ko-KR"/>
        </w:rPr>
        <w:t>/INF-</w:t>
      </w:r>
      <w:r w:rsidR="009D6B60">
        <w:rPr>
          <w:rFonts w:hint="eastAsia"/>
          <w:b/>
          <w:lang w:val="en-NZ" w:eastAsia="ko-KR"/>
        </w:rPr>
        <w:t>22</w:t>
      </w:r>
    </w:p>
    <w:p w14:paraId="0D234F3D" w14:textId="3727B6C6" w:rsidR="00784AC0" w:rsidRDefault="00350389" w:rsidP="00784AC0">
      <w:pPr>
        <w:adjustRightInd w:val="0"/>
        <w:snapToGrid w:val="0"/>
        <w:spacing w:after="120"/>
      </w:pPr>
      <w:r w:rsidRPr="00CD0E15">
        <w:rPr>
          <w:rFonts w:eastAsia="Times New Roman"/>
          <w:b/>
          <w:color w:val="000000"/>
        </w:rPr>
        <w:t>(</w:t>
      </w:r>
      <w:r w:rsidR="009D6B60">
        <w:rPr>
          <w:rFonts w:eastAsia="Times New Roman"/>
          <w:b/>
          <w:color w:val="000000"/>
        </w:rPr>
        <w:t>(D</w:t>
      </w:r>
      <w:proofErr w:type="gramStart"/>
      <w:r w:rsidR="009D6B60">
        <w:rPr>
          <w:rFonts w:eastAsia="Times New Roman"/>
          <w:b/>
          <w:color w:val="000000"/>
        </w:rPr>
        <w:t>)</w:t>
      </w:r>
      <w:r w:rsidRPr="00CD0E15">
        <w:rPr>
          <w:rFonts w:eastAsia="Times New Roman"/>
          <w:b/>
          <w:color w:val="000000"/>
        </w:rPr>
        <w:t>IAP</w:t>
      </w:r>
      <w:proofErr w:type="gramEnd"/>
      <w:r w:rsidRPr="00CD0E15">
        <w:rPr>
          <w:rFonts w:eastAsia="Times New Roman"/>
          <w:b/>
          <w:color w:val="000000"/>
        </w:rPr>
        <w:t>)</w:t>
      </w:r>
      <w:r w:rsidR="00784AC0">
        <w:rPr>
          <w:rFonts w:eastAsia="Malgun Gothic" w:hint="eastAsia"/>
          <w:b/>
          <w:color w:val="000000"/>
          <w:lang w:eastAsia="ko-KR"/>
        </w:rPr>
        <w:t xml:space="preserve"> </w:t>
      </w:r>
      <w:r w:rsidR="009D6B60">
        <w:t>Outcome should not impact Region 2 or studies do not support taking action</w:t>
      </w:r>
    </w:p>
    <w:p w14:paraId="099B8BF2" w14:textId="77777777" w:rsidR="009D6B60" w:rsidRPr="00784AC0" w:rsidRDefault="009D6B60" w:rsidP="00784AC0">
      <w:pPr>
        <w:adjustRightInd w:val="0"/>
        <w:snapToGrid w:val="0"/>
        <w:spacing w:after="120"/>
        <w:rPr>
          <w:lang w:eastAsia="ko-KR"/>
        </w:rPr>
      </w:pPr>
    </w:p>
    <w:p w14:paraId="409E3103" w14:textId="12BE0044" w:rsidR="002A0111" w:rsidRPr="00441526"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414F83">
        <w:rPr>
          <w:b/>
          <w:lang w:val="en-NZ" w:eastAsia="ko-KR"/>
        </w:rPr>
        <w:t>Document APG19-</w:t>
      </w:r>
      <w:r w:rsidR="009D6B60">
        <w:rPr>
          <w:rFonts w:hint="eastAsia"/>
          <w:b/>
          <w:lang w:val="en-NZ" w:eastAsia="ko-KR"/>
        </w:rPr>
        <w:t>4</w:t>
      </w:r>
      <w:r w:rsidR="009D6B60">
        <w:rPr>
          <w:b/>
          <w:lang w:val="en-NZ" w:eastAsia="ko-KR"/>
        </w:rPr>
        <w:t>/</w:t>
      </w:r>
      <w:r w:rsidR="00670784">
        <w:rPr>
          <w:b/>
          <w:lang w:val="en-NZ" w:eastAsia="ko-KR"/>
        </w:rPr>
        <w:t>INF-24</w:t>
      </w:r>
    </w:p>
    <w:p w14:paraId="2D518763" w14:textId="182C42B6" w:rsidR="009D6B60" w:rsidRDefault="009D6B60" w:rsidP="009D6B60">
      <w:pPr>
        <w:rPr>
          <w:rFonts w:eastAsia="Batang"/>
          <w:szCs w:val="20"/>
        </w:rPr>
      </w:pPr>
      <w:r>
        <w:t xml:space="preserve">The RCC Administrations do not oppose the development of relevant regulatory and technical conditions in order to provide compatibility between IMT and broadcasting-satellite service (sound) in the frequency band 1 452-1 492 MHz in Regions 1 and 3. These conditions shall only be applied in the territory of countries where this band is identified for IMT. </w:t>
      </w:r>
    </w:p>
    <w:p w14:paraId="2BC3AB85" w14:textId="77777777" w:rsidR="009D6B60" w:rsidRDefault="009D6B60" w:rsidP="009D6B60">
      <w:r>
        <w:t>The RCC Administrations consider that technical conditions and regulatory provisions developed within the framework of conducted studies shall also take into account the need to protect aeronautical telemetry systems in aeronautical mobile service.</w:t>
      </w:r>
    </w:p>
    <w:p w14:paraId="501873A3" w14:textId="77777777" w:rsidR="002A0111" w:rsidRPr="009D6B60" w:rsidRDefault="002A0111" w:rsidP="00A53B60">
      <w:pPr>
        <w:adjustRightInd w:val="0"/>
        <w:snapToGrid w:val="0"/>
        <w:spacing w:after="120"/>
        <w:rPr>
          <w:lang w:eastAsia="ko-KR"/>
        </w:rPr>
      </w:pPr>
    </w:p>
    <w:p w14:paraId="55192488" w14:textId="1E0656A0" w:rsidR="002A0111" w:rsidRPr="00441526"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2D70311" w14:textId="16B536CF" w:rsidR="002A0111"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r>
      <w:r w:rsidR="00FD1A4D">
        <w:rPr>
          <w:b/>
          <w:lang w:val="en-NZ" w:eastAsia="ko-KR"/>
        </w:rPr>
        <w:t>ICAO</w:t>
      </w:r>
    </w:p>
    <w:p w14:paraId="194B375D" w14:textId="205049BB" w:rsidR="00810893" w:rsidRPr="00810893" w:rsidRDefault="00810893" w:rsidP="00A53B60">
      <w:pPr>
        <w:adjustRightInd w:val="0"/>
        <w:snapToGrid w:val="0"/>
        <w:spacing w:after="120"/>
        <w:jc w:val="both"/>
        <w:rPr>
          <w:lang w:val="en-NZ" w:eastAsia="ko-KR"/>
        </w:rPr>
      </w:pPr>
      <w:r>
        <w:rPr>
          <w:rFonts w:hint="eastAsia"/>
          <w:lang w:val="en-NZ" w:eastAsia="ko-KR"/>
        </w:rPr>
        <w:t>NONE</w:t>
      </w:r>
    </w:p>
    <w:p w14:paraId="2D9D6EB4" w14:textId="77777777" w:rsidR="002A0111" w:rsidRPr="00441526" w:rsidRDefault="002A0111" w:rsidP="00A53B60">
      <w:pPr>
        <w:adjustRightInd w:val="0"/>
        <w:snapToGrid w:val="0"/>
        <w:spacing w:after="120"/>
        <w:rPr>
          <w:lang w:val="en-NZ"/>
        </w:rPr>
      </w:pPr>
    </w:p>
    <w:p w14:paraId="0BACCCD4" w14:textId="22846E35" w:rsidR="002A0111" w:rsidRPr="00441526" w:rsidRDefault="005206E9" w:rsidP="00A53B60">
      <w:pPr>
        <w:adjustRightInd w:val="0"/>
        <w:snapToGrid w:val="0"/>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r>
      <w:r w:rsidR="00FD1A4D">
        <w:rPr>
          <w:b/>
          <w:lang w:val="en-NZ" w:eastAsia="ko-KR"/>
        </w:rPr>
        <w:t>WMO</w:t>
      </w:r>
      <w:r w:rsidR="002A0111" w:rsidRPr="00441526">
        <w:rPr>
          <w:b/>
          <w:lang w:val="en-NZ" w:eastAsia="ko-KR"/>
        </w:rPr>
        <w:t xml:space="preserve"> </w:t>
      </w:r>
    </w:p>
    <w:p w14:paraId="7F3AA7E5" w14:textId="5C10B5AF" w:rsidR="002A0111" w:rsidRDefault="00810893" w:rsidP="00A53B60">
      <w:pPr>
        <w:adjustRightInd w:val="0"/>
        <w:snapToGrid w:val="0"/>
        <w:spacing w:after="120"/>
        <w:rPr>
          <w:lang w:val="en-NZ" w:eastAsia="ko-KR"/>
        </w:rPr>
      </w:pPr>
      <w:r>
        <w:rPr>
          <w:rFonts w:hint="eastAsia"/>
          <w:lang w:val="en-NZ" w:eastAsia="ko-KR"/>
        </w:rPr>
        <w:t>NONE</w:t>
      </w:r>
    </w:p>
    <w:p w14:paraId="0816E401" w14:textId="77777777" w:rsidR="00FD1A4D" w:rsidRPr="00441526" w:rsidRDefault="00FD1A4D" w:rsidP="00A53B60">
      <w:pPr>
        <w:adjustRightInd w:val="0"/>
        <w:snapToGrid w:val="0"/>
        <w:spacing w:after="120"/>
        <w:rPr>
          <w:lang w:val="en-NZ"/>
        </w:rPr>
      </w:pPr>
    </w:p>
    <w:p w14:paraId="1F5B9863" w14:textId="18E3B85A" w:rsidR="00FD1A4D" w:rsidRPr="00441526" w:rsidRDefault="00FD1A4D" w:rsidP="00FD1A4D">
      <w:pPr>
        <w:adjustRightInd w:val="0"/>
        <w:snapToGrid w:val="0"/>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r>
      <w:r>
        <w:rPr>
          <w:b/>
          <w:lang w:val="en-NZ" w:eastAsia="ko-KR"/>
        </w:rPr>
        <w:t>IARU</w:t>
      </w:r>
      <w:r w:rsidRPr="00441526">
        <w:rPr>
          <w:b/>
          <w:lang w:val="en-NZ" w:eastAsia="ko-KR"/>
        </w:rPr>
        <w:t xml:space="preserve"> </w:t>
      </w:r>
    </w:p>
    <w:p w14:paraId="17F1D766" w14:textId="77777777" w:rsidR="00FD1A4D" w:rsidRPr="00441526" w:rsidRDefault="00FD1A4D" w:rsidP="00FD1A4D">
      <w:pPr>
        <w:adjustRightInd w:val="0"/>
        <w:snapToGrid w:val="0"/>
        <w:spacing w:after="120"/>
        <w:rPr>
          <w:lang w:val="en-NZ"/>
        </w:rPr>
      </w:pPr>
      <w:r>
        <w:rPr>
          <w:rFonts w:hint="eastAsia"/>
          <w:lang w:val="en-NZ" w:eastAsia="ko-KR"/>
        </w:rPr>
        <w:t>NONE</w:t>
      </w:r>
    </w:p>
    <w:p w14:paraId="0847F5F4" w14:textId="77777777" w:rsidR="002A0111" w:rsidRPr="00441526" w:rsidRDefault="002A0111" w:rsidP="00A53B60">
      <w:pPr>
        <w:adjustRightInd w:val="0"/>
        <w:snapToGrid w:val="0"/>
        <w:spacing w:after="120"/>
        <w:rPr>
          <w:lang w:val="en-NZ"/>
        </w:rPr>
      </w:pPr>
    </w:p>
    <w:p w14:paraId="4BB34B8F" w14:textId="77777777" w:rsidR="002A0111" w:rsidRPr="00441526" w:rsidRDefault="002A0111" w:rsidP="00A53B60">
      <w:pPr>
        <w:adjustRightInd w:val="0"/>
        <w:snapToGrid w:val="0"/>
        <w:spacing w:after="120"/>
        <w:jc w:val="both"/>
        <w:rPr>
          <w:lang w:val="en-NZ"/>
        </w:rPr>
      </w:pPr>
    </w:p>
    <w:p w14:paraId="38669673" w14:textId="77777777" w:rsidR="002A0111" w:rsidRPr="00441526" w:rsidRDefault="002A0111" w:rsidP="00A53B60">
      <w:pPr>
        <w:adjustRightInd w:val="0"/>
        <w:snapToGrid w:val="0"/>
        <w:spacing w:after="120"/>
        <w:rPr>
          <w:b/>
          <w:lang w:val="en-NZ"/>
        </w:rPr>
      </w:pPr>
    </w:p>
    <w:p w14:paraId="52A68A06" w14:textId="77777777" w:rsidR="002A0111" w:rsidRPr="00710333" w:rsidRDefault="002A0111" w:rsidP="00A53B60">
      <w:pPr>
        <w:adjustRightInd w:val="0"/>
        <w:snapToGrid w:val="0"/>
        <w:spacing w:after="120"/>
        <w:jc w:val="center"/>
        <w:rPr>
          <w:snapToGrid w:val="0"/>
          <w:lang w:val="en-NZ"/>
        </w:rPr>
      </w:pPr>
      <w:r w:rsidRPr="00441526">
        <w:rPr>
          <w:lang w:val="en-NZ"/>
        </w:rPr>
        <w:t>____________</w:t>
      </w:r>
    </w:p>
    <w:p w14:paraId="5A09F69F" w14:textId="77777777" w:rsidR="002A0111" w:rsidRPr="007673CA" w:rsidRDefault="002A0111" w:rsidP="002A0111">
      <w:pPr>
        <w:jc w:val="both"/>
        <w:rPr>
          <w:lang w:val="en-NZ"/>
        </w:rPr>
      </w:pPr>
    </w:p>
    <w:p w14:paraId="2E0E676F" w14:textId="5DC3E542" w:rsidR="002A0111" w:rsidRDefault="002A0111" w:rsidP="00B64A60">
      <w:pPr>
        <w:rPr>
          <w:b/>
          <w:lang w:val="en-NZ"/>
        </w:rPr>
      </w:pPr>
    </w:p>
    <w:p w14:paraId="4E8E46F4" w14:textId="77777777" w:rsidR="002A0111" w:rsidRPr="002A0111" w:rsidRDefault="002A0111" w:rsidP="002A0111">
      <w:pPr>
        <w:rPr>
          <w:lang w:val="en-NZ"/>
        </w:rPr>
      </w:pPr>
    </w:p>
    <w:sectPr w:rsidR="002A0111" w:rsidRPr="002A0111" w:rsidSect="0092727B">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E11CF" w14:textId="77777777" w:rsidR="009072AA" w:rsidRDefault="009072AA">
      <w:r>
        <w:separator/>
      </w:r>
    </w:p>
  </w:endnote>
  <w:endnote w:type="continuationSeparator" w:id="0">
    <w:p w14:paraId="4F8C5225" w14:textId="77777777" w:rsidR="009072AA" w:rsidRDefault="0090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A80590" w:rsidRDefault="00A8059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A80590" w:rsidRDefault="00A8059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0F98F48D" w:rsidR="00A80590" w:rsidRDefault="00A80590" w:rsidP="0092727B">
    <w:pPr>
      <w:pStyle w:val="Footer"/>
      <w:tabs>
        <w:tab w:val="clear" w:pos="4320"/>
        <w:tab w:val="clear" w:pos="8640"/>
        <w:tab w:val="right" w:pos="9180"/>
      </w:tabs>
      <w:ind w:right="-7"/>
    </w:pPr>
    <w:r>
      <w:rPr>
        <w:rFonts w:hint="eastAsia"/>
        <w:lang w:eastAsia="ko-KR"/>
      </w:rPr>
      <w:t>A</w:t>
    </w:r>
    <w:r w:rsidR="00437FA4">
      <w:rPr>
        <w:lang w:eastAsia="ko-KR"/>
      </w:rPr>
      <w:t>PG19-4</w:t>
    </w:r>
    <w:r w:rsidR="00666D01">
      <w:rPr>
        <w:lang w:eastAsia="ko-KR"/>
      </w:rPr>
      <w:t>/OUT-02</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D2C10">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D2C10">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C31A8D" w:rsidRPr="00690609" w14:paraId="61E561D9" w14:textId="77777777" w:rsidTr="00214505">
      <w:trPr>
        <w:cantSplit/>
        <w:trHeight w:val="204"/>
        <w:jc w:val="center"/>
      </w:trPr>
      <w:tc>
        <w:tcPr>
          <w:tcW w:w="1152" w:type="dxa"/>
        </w:tcPr>
        <w:p w14:paraId="07003641" w14:textId="77777777" w:rsidR="00C31A8D" w:rsidRPr="00690609" w:rsidRDefault="00C31A8D" w:rsidP="00C31A8D">
          <w:pPr>
            <w:rPr>
              <w:b/>
              <w:bCs/>
            </w:rPr>
          </w:pPr>
          <w:r w:rsidRPr="00690609">
            <w:rPr>
              <w:b/>
              <w:bCs/>
            </w:rPr>
            <w:t>Contact:</w:t>
          </w:r>
        </w:p>
      </w:tc>
      <w:tc>
        <w:tcPr>
          <w:tcW w:w="4068" w:type="dxa"/>
        </w:tcPr>
        <w:p w14:paraId="2E2E044D" w14:textId="77777777" w:rsidR="00C31A8D" w:rsidRPr="00690609" w:rsidRDefault="00C31A8D" w:rsidP="00C31A8D">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MUNEO ABE</w:t>
          </w:r>
        </w:p>
        <w:p w14:paraId="3667C9A7" w14:textId="77777777" w:rsidR="00C31A8D" w:rsidRPr="00690609" w:rsidRDefault="00C31A8D" w:rsidP="00C31A8D">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WP3</w:t>
          </w:r>
        </w:p>
      </w:tc>
      <w:tc>
        <w:tcPr>
          <w:tcW w:w="3996" w:type="dxa"/>
        </w:tcPr>
        <w:p w14:paraId="46AFD0AD" w14:textId="77777777" w:rsidR="00C31A8D" w:rsidRPr="00690609" w:rsidRDefault="00C31A8D" w:rsidP="00C31A8D">
          <w:pPr>
            <w:rPr>
              <w:lang w:eastAsia="ja-JP"/>
            </w:rPr>
          </w:pPr>
          <w:r w:rsidRPr="00690609">
            <w:t>Email</w:t>
          </w:r>
          <w:r>
            <w:rPr>
              <w:rFonts w:hint="eastAsia"/>
            </w:rPr>
            <w:t>:</w:t>
          </w:r>
          <w:r>
            <w:t xml:space="preserve"> </w:t>
          </w:r>
          <w:hyperlink r:id="rId1" w:history="1">
            <w:r w:rsidRPr="00492A22">
              <w:rPr>
                <w:rStyle w:val="Hyperlink"/>
              </w:rPr>
              <w:t>Abe.Muneo@cj.MitsubishiElectric.co.jp</w:t>
            </w:r>
          </w:hyperlink>
          <w:r>
            <w:t xml:space="preserve"> </w:t>
          </w:r>
        </w:p>
      </w:tc>
    </w:tr>
  </w:tbl>
  <w:p w14:paraId="2E0E6781" w14:textId="64F17CD3" w:rsidR="00A80590" w:rsidRDefault="00A80590"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4380" w14:textId="77777777" w:rsidR="009072AA" w:rsidRDefault="009072AA">
      <w:r>
        <w:separator/>
      </w:r>
    </w:p>
  </w:footnote>
  <w:footnote w:type="continuationSeparator" w:id="0">
    <w:p w14:paraId="6672DA8B" w14:textId="77777777" w:rsidR="009072AA" w:rsidRDefault="0090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A80590" w:rsidRDefault="00A80590" w:rsidP="0092727B">
    <w:pPr>
      <w:pStyle w:val="Header"/>
      <w:tabs>
        <w:tab w:val="clear" w:pos="4320"/>
        <w:tab w:val="clear" w:pos="8640"/>
      </w:tabs>
      <w:rPr>
        <w:lang w:eastAsia="ko-KR"/>
      </w:rPr>
    </w:pPr>
  </w:p>
  <w:p w14:paraId="2E0E6779" w14:textId="77777777" w:rsidR="00A80590" w:rsidRDefault="00A80590"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A80590" w:rsidRDefault="00A80590"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1637" w:hanging="360"/>
      </w:pPr>
      <w:rPr>
        <w:rFonts w:hint="default"/>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0CC80561"/>
    <w:multiLevelType w:val="hybridMultilevel"/>
    <w:tmpl w:val="1338B182"/>
    <w:lvl w:ilvl="0" w:tplc="60725832">
      <w:start w:val="1"/>
      <w:numFmt w:val="bullet"/>
      <w:suff w:val="space"/>
      <w:lvlText w:val=""/>
      <w:lvlJc w:val="left"/>
      <w:pPr>
        <w:ind w:left="0" w:firstLine="0"/>
      </w:pPr>
      <w:rPr>
        <w:rFonts w:ascii="Wingdings" w:eastAsia="Wingdings" w:hAnsi="Wingdings" w:hint="default"/>
        <w:color w:val="000000"/>
        <w:w w:val="100"/>
        <w:sz w:val="20"/>
      </w:rPr>
    </w:lvl>
    <w:lvl w:ilvl="1" w:tplc="F5B82952">
      <w:start w:val="1"/>
      <w:numFmt w:val="decimal"/>
      <w:lvlText w:val="%2."/>
      <w:lvlJc w:val="left"/>
      <w:pPr>
        <w:tabs>
          <w:tab w:val="num" w:pos="1440"/>
        </w:tabs>
        <w:ind w:left="1440" w:hanging="360"/>
      </w:pPr>
    </w:lvl>
    <w:lvl w:ilvl="2" w:tplc="8DE285FC">
      <w:start w:val="1"/>
      <w:numFmt w:val="decimal"/>
      <w:lvlText w:val="%3."/>
      <w:lvlJc w:val="left"/>
      <w:pPr>
        <w:tabs>
          <w:tab w:val="num" w:pos="2160"/>
        </w:tabs>
        <w:ind w:left="2160" w:hanging="360"/>
      </w:pPr>
    </w:lvl>
    <w:lvl w:ilvl="3" w:tplc="73ECBCAC">
      <w:start w:val="1"/>
      <w:numFmt w:val="decimal"/>
      <w:lvlText w:val="%4."/>
      <w:lvlJc w:val="left"/>
      <w:pPr>
        <w:tabs>
          <w:tab w:val="num" w:pos="2880"/>
        </w:tabs>
        <w:ind w:left="2880" w:hanging="360"/>
      </w:pPr>
    </w:lvl>
    <w:lvl w:ilvl="4" w:tplc="A6D81A6E">
      <w:start w:val="1"/>
      <w:numFmt w:val="decimal"/>
      <w:lvlText w:val="%5."/>
      <w:lvlJc w:val="left"/>
      <w:pPr>
        <w:tabs>
          <w:tab w:val="num" w:pos="3600"/>
        </w:tabs>
        <w:ind w:left="3600" w:hanging="360"/>
      </w:pPr>
    </w:lvl>
    <w:lvl w:ilvl="5" w:tplc="3526749E">
      <w:start w:val="1"/>
      <w:numFmt w:val="decimal"/>
      <w:lvlText w:val="%6."/>
      <w:lvlJc w:val="left"/>
      <w:pPr>
        <w:tabs>
          <w:tab w:val="num" w:pos="4320"/>
        </w:tabs>
        <w:ind w:left="4320" w:hanging="360"/>
      </w:pPr>
    </w:lvl>
    <w:lvl w:ilvl="6" w:tplc="4D261E50">
      <w:start w:val="1"/>
      <w:numFmt w:val="decimal"/>
      <w:lvlText w:val="%7."/>
      <w:lvlJc w:val="left"/>
      <w:pPr>
        <w:tabs>
          <w:tab w:val="num" w:pos="5040"/>
        </w:tabs>
        <w:ind w:left="5040" w:hanging="360"/>
      </w:pPr>
    </w:lvl>
    <w:lvl w:ilvl="7" w:tplc="3E3CE672">
      <w:start w:val="1"/>
      <w:numFmt w:val="decimal"/>
      <w:lvlText w:val="%8."/>
      <w:lvlJc w:val="left"/>
      <w:pPr>
        <w:tabs>
          <w:tab w:val="num" w:pos="5760"/>
        </w:tabs>
        <w:ind w:left="5760" w:hanging="360"/>
      </w:pPr>
    </w:lvl>
    <w:lvl w:ilvl="8" w:tplc="27381AF2">
      <w:start w:val="1"/>
      <w:numFmt w:val="decimal"/>
      <w:lvlText w:val="%9."/>
      <w:lvlJc w:val="left"/>
      <w:pPr>
        <w:tabs>
          <w:tab w:val="num" w:pos="6480"/>
        </w:tabs>
        <w:ind w:left="6480" w:hanging="36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FC5080F"/>
    <w:multiLevelType w:val="hybridMultilevel"/>
    <w:tmpl w:val="A0E28E5C"/>
    <w:lvl w:ilvl="0" w:tplc="4118BC9C">
      <w:start w:val="42"/>
      <w:numFmt w:val="bullet"/>
      <w:lvlText w:val="-"/>
      <w:lvlJc w:val="left"/>
      <w:pPr>
        <w:ind w:left="1086" w:hanging="400"/>
      </w:pPr>
      <w:rPr>
        <w:rFonts w:ascii="Times New Roman" w:eastAsia="BatangChe" w:hAnsi="Times New Roman" w:cs="Times New Roman" w:hint="default"/>
      </w:rPr>
    </w:lvl>
    <w:lvl w:ilvl="1" w:tplc="04090003" w:tentative="1">
      <w:start w:val="1"/>
      <w:numFmt w:val="bullet"/>
      <w:lvlText w:val=""/>
      <w:lvlJc w:val="left"/>
      <w:pPr>
        <w:ind w:left="1486" w:hanging="400"/>
      </w:pPr>
      <w:rPr>
        <w:rFonts w:ascii="Wingdings" w:hAnsi="Wingdings" w:hint="default"/>
      </w:rPr>
    </w:lvl>
    <w:lvl w:ilvl="2" w:tplc="04090005" w:tentative="1">
      <w:start w:val="1"/>
      <w:numFmt w:val="bullet"/>
      <w:lvlText w:val=""/>
      <w:lvlJc w:val="left"/>
      <w:pPr>
        <w:ind w:left="1886" w:hanging="400"/>
      </w:pPr>
      <w:rPr>
        <w:rFonts w:ascii="Wingdings" w:hAnsi="Wingdings" w:hint="default"/>
      </w:rPr>
    </w:lvl>
    <w:lvl w:ilvl="3" w:tplc="04090001" w:tentative="1">
      <w:start w:val="1"/>
      <w:numFmt w:val="bullet"/>
      <w:lvlText w:val=""/>
      <w:lvlJc w:val="left"/>
      <w:pPr>
        <w:ind w:left="2286" w:hanging="400"/>
      </w:pPr>
      <w:rPr>
        <w:rFonts w:ascii="Wingdings" w:hAnsi="Wingdings" w:hint="default"/>
      </w:rPr>
    </w:lvl>
    <w:lvl w:ilvl="4" w:tplc="04090003" w:tentative="1">
      <w:start w:val="1"/>
      <w:numFmt w:val="bullet"/>
      <w:lvlText w:val=""/>
      <w:lvlJc w:val="left"/>
      <w:pPr>
        <w:ind w:left="2686" w:hanging="400"/>
      </w:pPr>
      <w:rPr>
        <w:rFonts w:ascii="Wingdings" w:hAnsi="Wingdings" w:hint="default"/>
      </w:rPr>
    </w:lvl>
    <w:lvl w:ilvl="5" w:tplc="04090005" w:tentative="1">
      <w:start w:val="1"/>
      <w:numFmt w:val="bullet"/>
      <w:lvlText w:val=""/>
      <w:lvlJc w:val="left"/>
      <w:pPr>
        <w:ind w:left="3086" w:hanging="400"/>
      </w:pPr>
      <w:rPr>
        <w:rFonts w:ascii="Wingdings" w:hAnsi="Wingdings" w:hint="default"/>
      </w:rPr>
    </w:lvl>
    <w:lvl w:ilvl="6" w:tplc="04090001" w:tentative="1">
      <w:start w:val="1"/>
      <w:numFmt w:val="bullet"/>
      <w:lvlText w:val=""/>
      <w:lvlJc w:val="left"/>
      <w:pPr>
        <w:ind w:left="3486" w:hanging="400"/>
      </w:pPr>
      <w:rPr>
        <w:rFonts w:ascii="Wingdings" w:hAnsi="Wingdings" w:hint="default"/>
      </w:rPr>
    </w:lvl>
    <w:lvl w:ilvl="7" w:tplc="04090003" w:tentative="1">
      <w:start w:val="1"/>
      <w:numFmt w:val="bullet"/>
      <w:lvlText w:val=""/>
      <w:lvlJc w:val="left"/>
      <w:pPr>
        <w:ind w:left="3886" w:hanging="400"/>
      </w:pPr>
      <w:rPr>
        <w:rFonts w:ascii="Wingdings" w:hAnsi="Wingdings" w:hint="default"/>
      </w:rPr>
    </w:lvl>
    <w:lvl w:ilvl="8" w:tplc="04090005" w:tentative="1">
      <w:start w:val="1"/>
      <w:numFmt w:val="bullet"/>
      <w:lvlText w:val=""/>
      <w:lvlJc w:val="left"/>
      <w:pPr>
        <w:ind w:left="4286" w:hanging="400"/>
      </w:pPr>
      <w:rPr>
        <w:rFonts w:ascii="Wingdings" w:hAnsi="Wingdings" w:hint="default"/>
      </w:rPr>
    </w:lvl>
  </w:abstractNum>
  <w:abstractNum w:abstractNumId="6" w15:restartNumberingAfterBreak="0">
    <w:nsid w:val="21BB37AB"/>
    <w:multiLevelType w:val="hybridMultilevel"/>
    <w:tmpl w:val="D03C02EC"/>
    <w:lvl w:ilvl="0" w:tplc="7D521444">
      <w:start w:val="1"/>
      <w:numFmt w:val="bullet"/>
      <w:suff w:val="space"/>
      <w:lvlText w:val=""/>
      <w:lvlJc w:val="left"/>
      <w:pPr>
        <w:ind w:left="0" w:firstLine="0"/>
      </w:pPr>
      <w:rPr>
        <w:rFonts w:ascii="Wingdings" w:eastAsia="Wingdings" w:hAnsi="Wingdings" w:hint="default"/>
        <w:color w:val="000000"/>
        <w:w w:val="100"/>
        <w:sz w:val="20"/>
      </w:rPr>
    </w:lvl>
    <w:lvl w:ilvl="1" w:tplc="E738CE22">
      <w:start w:val="1"/>
      <w:numFmt w:val="decimal"/>
      <w:lvlText w:val="%2."/>
      <w:lvlJc w:val="left"/>
      <w:pPr>
        <w:tabs>
          <w:tab w:val="num" w:pos="1440"/>
        </w:tabs>
        <w:ind w:left="1440" w:hanging="360"/>
      </w:pPr>
    </w:lvl>
    <w:lvl w:ilvl="2" w:tplc="82E06766">
      <w:start w:val="1"/>
      <w:numFmt w:val="decimal"/>
      <w:lvlText w:val="%3."/>
      <w:lvlJc w:val="left"/>
      <w:pPr>
        <w:tabs>
          <w:tab w:val="num" w:pos="2160"/>
        </w:tabs>
        <w:ind w:left="2160" w:hanging="360"/>
      </w:pPr>
    </w:lvl>
    <w:lvl w:ilvl="3" w:tplc="3252BF56">
      <w:start w:val="1"/>
      <w:numFmt w:val="decimal"/>
      <w:lvlText w:val="%4."/>
      <w:lvlJc w:val="left"/>
      <w:pPr>
        <w:tabs>
          <w:tab w:val="num" w:pos="2880"/>
        </w:tabs>
        <w:ind w:left="2880" w:hanging="360"/>
      </w:pPr>
    </w:lvl>
    <w:lvl w:ilvl="4" w:tplc="BE7082E4">
      <w:start w:val="1"/>
      <w:numFmt w:val="decimal"/>
      <w:lvlText w:val="%5."/>
      <w:lvlJc w:val="left"/>
      <w:pPr>
        <w:tabs>
          <w:tab w:val="num" w:pos="3600"/>
        </w:tabs>
        <w:ind w:left="3600" w:hanging="360"/>
      </w:pPr>
    </w:lvl>
    <w:lvl w:ilvl="5" w:tplc="02F0EF8C">
      <w:start w:val="1"/>
      <w:numFmt w:val="decimal"/>
      <w:lvlText w:val="%6."/>
      <w:lvlJc w:val="left"/>
      <w:pPr>
        <w:tabs>
          <w:tab w:val="num" w:pos="4320"/>
        </w:tabs>
        <w:ind w:left="4320" w:hanging="360"/>
      </w:pPr>
    </w:lvl>
    <w:lvl w:ilvl="6" w:tplc="7724FE0C">
      <w:start w:val="1"/>
      <w:numFmt w:val="decimal"/>
      <w:lvlText w:val="%7."/>
      <w:lvlJc w:val="left"/>
      <w:pPr>
        <w:tabs>
          <w:tab w:val="num" w:pos="5040"/>
        </w:tabs>
        <w:ind w:left="5040" w:hanging="360"/>
      </w:pPr>
    </w:lvl>
    <w:lvl w:ilvl="7" w:tplc="B4C44010">
      <w:start w:val="1"/>
      <w:numFmt w:val="decimal"/>
      <w:lvlText w:val="%8."/>
      <w:lvlJc w:val="left"/>
      <w:pPr>
        <w:tabs>
          <w:tab w:val="num" w:pos="5760"/>
        </w:tabs>
        <w:ind w:left="5760" w:hanging="360"/>
      </w:pPr>
    </w:lvl>
    <w:lvl w:ilvl="8" w:tplc="0F8CBFB6">
      <w:start w:val="1"/>
      <w:numFmt w:val="decimal"/>
      <w:lvlText w:val="%9."/>
      <w:lvlJc w:val="left"/>
      <w:pPr>
        <w:tabs>
          <w:tab w:val="num" w:pos="6480"/>
        </w:tabs>
        <w:ind w:left="6480" w:hanging="36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2B34168"/>
    <w:multiLevelType w:val="hybridMultilevel"/>
    <w:tmpl w:val="8D0EF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3D2C0F60"/>
    <w:multiLevelType w:val="hybridMultilevel"/>
    <w:tmpl w:val="0CF80032"/>
    <w:lvl w:ilvl="0" w:tplc="FC5E58F2">
      <w:start w:val="1"/>
      <w:numFmt w:val="bullet"/>
      <w:lvlText w:val="o"/>
      <w:lvlJc w:val="left"/>
      <w:pPr>
        <w:tabs>
          <w:tab w:val="num" w:pos="720"/>
        </w:tabs>
        <w:ind w:left="720" w:hanging="360"/>
      </w:pPr>
      <w:rPr>
        <w:rFonts w:ascii="Courier New" w:hAnsi="Courier New" w:hint="default"/>
      </w:rPr>
    </w:lvl>
    <w:lvl w:ilvl="1" w:tplc="B5AC2320">
      <w:start w:val="1"/>
      <w:numFmt w:val="bullet"/>
      <w:lvlText w:val="o"/>
      <w:lvlJc w:val="left"/>
      <w:pPr>
        <w:tabs>
          <w:tab w:val="num" w:pos="1440"/>
        </w:tabs>
        <w:ind w:left="1440" w:hanging="360"/>
      </w:pPr>
      <w:rPr>
        <w:rFonts w:ascii="Courier New" w:hAnsi="Courier New" w:hint="default"/>
      </w:rPr>
    </w:lvl>
    <w:lvl w:ilvl="2" w:tplc="DBF49D68" w:tentative="1">
      <w:start w:val="1"/>
      <w:numFmt w:val="bullet"/>
      <w:lvlText w:val="o"/>
      <w:lvlJc w:val="left"/>
      <w:pPr>
        <w:tabs>
          <w:tab w:val="num" w:pos="2160"/>
        </w:tabs>
        <w:ind w:left="2160" w:hanging="360"/>
      </w:pPr>
      <w:rPr>
        <w:rFonts w:ascii="Courier New" w:hAnsi="Courier New" w:hint="default"/>
      </w:rPr>
    </w:lvl>
    <w:lvl w:ilvl="3" w:tplc="4704F01C" w:tentative="1">
      <w:start w:val="1"/>
      <w:numFmt w:val="bullet"/>
      <w:lvlText w:val="o"/>
      <w:lvlJc w:val="left"/>
      <w:pPr>
        <w:tabs>
          <w:tab w:val="num" w:pos="2880"/>
        </w:tabs>
        <w:ind w:left="2880" w:hanging="360"/>
      </w:pPr>
      <w:rPr>
        <w:rFonts w:ascii="Courier New" w:hAnsi="Courier New" w:hint="default"/>
      </w:rPr>
    </w:lvl>
    <w:lvl w:ilvl="4" w:tplc="0194D39A" w:tentative="1">
      <w:start w:val="1"/>
      <w:numFmt w:val="bullet"/>
      <w:lvlText w:val="o"/>
      <w:lvlJc w:val="left"/>
      <w:pPr>
        <w:tabs>
          <w:tab w:val="num" w:pos="3600"/>
        </w:tabs>
        <w:ind w:left="3600" w:hanging="360"/>
      </w:pPr>
      <w:rPr>
        <w:rFonts w:ascii="Courier New" w:hAnsi="Courier New" w:hint="default"/>
      </w:rPr>
    </w:lvl>
    <w:lvl w:ilvl="5" w:tplc="3DD22032" w:tentative="1">
      <w:start w:val="1"/>
      <w:numFmt w:val="bullet"/>
      <w:lvlText w:val="o"/>
      <w:lvlJc w:val="left"/>
      <w:pPr>
        <w:tabs>
          <w:tab w:val="num" w:pos="4320"/>
        </w:tabs>
        <w:ind w:left="4320" w:hanging="360"/>
      </w:pPr>
      <w:rPr>
        <w:rFonts w:ascii="Courier New" w:hAnsi="Courier New" w:hint="default"/>
      </w:rPr>
    </w:lvl>
    <w:lvl w:ilvl="6" w:tplc="6A6C428E" w:tentative="1">
      <w:start w:val="1"/>
      <w:numFmt w:val="bullet"/>
      <w:lvlText w:val="o"/>
      <w:lvlJc w:val="left"/>
      <w:pPr>
        <w:tabs>
          <w:tab w:val="num" w:pos="5040"/>
        </w:tabs>
        <w:ind w:left="5040" w:hanging="360"/>
      </w:pPr>
      <w:rPr>
        <w:rFonts w:ascii="Courier New" w:hAnsi="Courier New" w:hint="default"/>
      </w:rPr>
    </w:lvl>
    <w:lvl w:ilvl="7" w:tplc="957633C0" w:tentative="1">
      <w:start w:val="1"/>
      <w:numFmt w:val="bullet"/>
      <w:lvlText w:val="o"/>
      <w:lvlJc w:val="left"/>
      <w:pPr>
        <w:tabs>
          <w:tab w:val="num" w:pos="5760"/>
        </w:tabs>
        <w:ind w:left="5760" w:hanging="360"/>
      </w:pPr>
      <w:rPr>
        <w:rFonts w:ascii="Courier New" w:hAnsi="Courier New" w:hint="default"/>
      </w:rPr>
    </w:lvl>
    <w:lvl w:ilvl="8" w:tplc="9B00C73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F05CC"/>
    <w:multiLevelType w:val="hybridMultilevel"/>
    <w:tmpl w:val="0024C13C"/>
    <w:lvl w:ilvl="0" w:tplc="C396DACC">
      <w:start w:val="1"/>
      <w:numFmt w:val="bullet"/>
      <w:suff w:val="space"/>
      <w:lvlText w:val=""/>
      <w:lvlJc w:val="left"/>
      <w:pPr>
        <w:ind w:left="0" w:firstLine="0"/>
      </w:pPr>
      <w:rPr>
        <w:rFonts w:ascii="Wingdings" w:eastAsia="Wingdings" w:hAnsi="Wingdings" w:hint="default"/>
        <w:color w:val="000000"/>
        <w:w w:val="100"/>
        <w:sz w:val="20"/>
      </w:rPr>
    </w:lvl>
    <w:lvl w:ilvl="1" w:tplc="7B54DA36">
      <w:start w:val="1"/>
      <w:numFmt w:val="decimal"/>
      <w:lvlText w:val="%2."/>
      <w:lvlJc w:val="left"/>
      <w:pPr>
        <w:tabs>
          <w:tab w:val="num" w:pos="1440"/>
        </w:tabs>
        <w:ind w:left="1440" w:hanging="360"/>
      </w:pPr>
    </w:lvl>
    <w:lvl w:ilvl="2" w:tplc="EFC2A126">
      <w:start w:val="1"/>
      <w:numFmt w:val="decimal"/>
      <w:lvlText w:val="%3."/>
      <w:lvlJc w:val="left"/>
      <w:pPr>
        <w:tabs>
          <w:tab w:val="num" w:pos="2160"/>
        </w:tabs>
        <w:ind w:left="2160" w:hanging="360"/>
      </w:pPr>
    </w:lvl>
    <w:lvl w:ilvl="3" w:tplc="9D3C76BE">
      <w:start w:val="1"/>
      <w:numFmt w:val="decimal"/>
      <w:lvlText w:val="%4."/>
      <w:lvlJc w:val="left"/>
      <w:pPr>
        <w:tabs>
          <w:tab w:val="num" w:pos="2880"/>
        </w:tabs>
        <w:ind w:left="2880" w:hanging="360"/>
      </w:pPr>
    </w:lvl>
    <w:lvl w:ilvl="4" w:tplc="E438CF0C">
      <w:start w:val="1"/>
      <w:numFmt w:val="decimal"/>
      <w:lvlText w:val="%5."/>
      <w:lvlJc w:val="left"/>
      <w:pPr>
        <w:tabs>
          <w:tab w:val="num" w:pos="3600"/>
        </w:tabs>
        <w:ind w:left="3600" w:hanging="360"/>
      </w:pPr>
    </w:lvl>
    <w:lvl w:ilvl="5" w:tplc="858AA8A2">
      <w:start w:val="1"/>
      <w:numFmt w:val="decimal"/>
      <w:lvlText w:val="%6."/>
      <w:lvlJc w:val="left"/>
      <w:pPr>
        <w:tabs>
          <w:tab w:val="num" w:pos="4320"/>
        </w:tabs>
        <w:ind w:left="4320" w:hanging="360"/>
      </w:pPr>
    </w:lvl>
    <w:lvl w:ilvl="6" w:tplc="E9D2A352">
      <w:start w:val="1"/>
      <w:numFmt w:val="decimal"/>
      <w:lvlText w:val="%7."/>
      <w:lvlJc w:val="left"/>
      <w:pPr>
        <w:tabs>
          <w:tab w:val="num" w:pos="5040"/>
        </w:tabs>
        <w:ind w:left="5040" w:hanging="360"/>
      </w:pPr>
    </w:lvl>
    <w:lvl w:ilvl="7" w:tplc="02C80556">
      <w:start w:val="1"/>
      <w:numFmt w:val="decimal"/>
      <w:lvlText w:val="%8."/>
      <w:lvlJc w:val="left"/>
      <w:pPr>
        <w:tabs>
          <w:tab w:val="num" w:pos="5760"/>
        </w:tabs>
        <w:ind w:left="5760" w:hanging="360"/>
      </w:pPr>
    </w:lvl>
    <w:lvl w:ilvl="8" w:tplc="2F808A1C">
      <w:start w:val="1"/>
      <w:numFmt w:val="decimal"/>
      <w:lvlText w:val="%9."/>
      <w:lvlJc w:val="left"/>
      <w:pPr>
        <w:tabs>
          <w:tab w:val="num" w:pos="6480"/>
        </w:tabs>
        <w:ind w:left="6480" w:hanging="360"/>
      </w:p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20A2AAA"/>
    <w:multiLevelType w:val="hybridMultilevel"/>
    <w:tmpl w:val="EC5286AC"/>
    <w:lvl w:ilvl="0" w:tplc="EB302AD6">
      <w:start w:val="1"/>
      <w:numFmt w:val="bullet"/>
      <w:suff w:val="space"/>
      <w:lvlText w:val=""/>
      <w:lvlJc w:val="left"/>
      <w:pPr>
        <w:ind w:left="0" w:firstLine="0"/>
      </w:pPr>
      <w:rPr>
        <w:rFonts w:ascii="Wingdings" w:eastAsia="Wingdings" w:hAnsi="Wingdings" w:hint="default"/>
        <w:color w:val="000000"/>
        <w:w w:val="100"/>
        <w:sz w:val="20"/>
      </w:rPr>
    </w:lvl>
    <w:lvl w:ilvl="1" w:tplc="B7F84478">
      <w:start w:val="1"/>
      <w:numFmt w:val="decimal"/>
      <w:lvlText w:val="%2."/>
      <w:lvlJc w:val="left"/>
      <w:pPr>
        <w:tabs>
          <w:tab w:val="num" w:pos="1440"/>
        </w:tabs>
        <w:ind w:left="1440" w:hanging="360"/>
      </w:pPr>
    </w:lvl>
    <w:lvl w:ilvl="2" w:tplc="4328B98A">
      <w:start w:val="1"/>
      <w:numFmt w:val="decimal"/>
      <w:lvlText w:val="%3."/>
      <w:lvlJc w:val="left"/>
      <w:pPr>
        <w:tabs>
          <w:tab w:val="num" w:pos="2160"/>
        </w:tabs>
        <w:ind w:left="2160" w:hanging="360"/>
      </w:pPr>
    </w:lvl>
    <w:lvl w:ilvl="3" w:tplc="8C2A935C">
      <w:start w:val="1"/>
      <w:numFmt w:val="decimal"/>
      <w:lvlText w:val="%4."/>
      <w:lvlJc w:val="left"/>
      <w:pPr>
        <w:tabs>
          <w:tab w:val="num" w:pos="2880"/>
        </w:tabs>
        <w:ind w:left="2880" w:hanging="360"/>
      </w:pPr>
    </w:lvl>
    <w:lvl w:ilvl="4" w:tplc="B59CAE64">
      <w:start w:val="1"/>
      <w:numFmt w:val="decimal"/>
      <w:lvlText w:val="%5."/>
      <w:lvlJc w:val="left"/>
      <w:pPr>
        <w:tabs>
          <w:tab w:val="num" w:pos="3600"/>
        </w:tabs>
        <w:ind w:left="3600" w:hanging="360"/>
      </w:pPr>
    </w:lvl>
    <w:lvl w:ilvl="5" w:tplc="AE86D166">
      <w:start w:val="1"/>
      <w:numFmt w:val="decimal"/>
      <w:lvlText w:val="%6."/>
      <w:lvlJc w:val="left"/>
      <w:pPr>
        <w:tabs>
          <w:tab w:val="num" w:pos="4320"/>
        </w:tabs>
        <w:ind w:left="4320" w:hanging="360"/>
      </w:pPr>
    </w:lvl>
    <w:lvl w:ilvl="6" w:tplc="D908B088">
      <w:start w:val="1"/>
      <w:numFmt w:val="decimal"/>
      <w:lvlText w:val="%7."/>
      <w:lvlJc w:val="left"/>
      <w:pPr>
        <w:tabs>
          <w:tab w:val="num" w:pos="5040"/>
        </w:tabs>
        <w:ind w:left="5040" w:hanging="360"/>
      </w:pPr>
    </w:lvl>
    <w:lvl w:ilvl="7" w:tplc="FFA02D02">
      <w:start w:val="1"/>
      <w:numFmt w:val="decimal"/>
      <w:lvlText w:val="%8."/>
      <w:lvlJc w:val="left"/>
      <w:pPr>
        <w:tabs>
          <w:tab w:val="num" w:pos="5760"/>
        </w:tabs>
        <w:ind w:left="5760" w:hanging="360"/>
      </w:pPr>
    </w:lvl>
    <w:lvl w:ilvl="8" w:tplc="3536CF12">
      <w:start w:val="1"/>
      <w:numFmt w:val="decimal"/>
      <w:lvlText w:val="%9."/>
      <w:lvlJc w:val="left"/>
      <w:pPr>
        <w:tabs>
          <w:tab w:val="num" w:pos="6480"/>
        </w:tabs>
        <w:ind w:left="6480" w:hanging="360"/>
      </w:p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8"/>
  </w:num>
  <w:num w:numId="3">
    <w:abstractNumId w:val="7"/>
  </w:num>
  <w:num w:numId="4">
    <w:abstractNumId w:val="22"/>
  </w:num>
  <w:num w:numId="5">
    <w:abstractNumId w:val="11"/>
  </w:num>
  <w:num w:numId="6">
    <w:abstractNumId w:val="15"/>
  </w:num>
  <w:num w:numId="7">
    <w:abstractNumId w:val="3"/>
  </w:num>
  <w:num w:numId="8">
    <w:abstractNumId w:val="2"/>
  </w:num>
  <w:num w:numId="9">
    <w:abstractNumId w:val="26"/>
  </w:num>
  <w:num w:numId="10">
    <w:abstractNumId w:val="20"/>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19"/>
  </w:num>
  <w:num w:numId="18">
    <w:abstractNumId w:val="16"/>
  </w:num>
  <w:num w:numId="19">
    <w:abstractNumId w:val="25"/>
  </w:num>
  <w:num w:numId="20">
    <w:abstractNumId w:val="10"/>
  </w:num>
  <w:num w:numId="21">
    <w:abstractNumId w:val="24"/>
  </w:num>
  <w:num w:numId="22">
    <w:abstractNumId w:val="28"/>
  </w:num>
  <w:num w:numId="23">
    <w:abstractNumId w:val="1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3F1D"/>
    <w:rsid w:val="000164BA"/>
    <w:rsid w:val="000239C9"/>
    <w:rsid w:val="0003595B"/>
    <w:rsid w:val="00036517"/>
    <w:rsid w:val="00036CC9"/>
    <w:rsid w:val="00040149"/>
    <w:rsid w:val="0006163E"/>
    <w:rsid w:val="00070331"/>
    <w:rsid w:val="00070642"/>
    <w:rsid w:val="000713CF"/>
    <w:rsid w:val="00075C14"/>
    <w:rsid w:val="000816E8"/>
    <w:rsid w:val="000822B5"/>
    <w:rsid w:val="00094B87"/>
    <w:rsid w:val="000A012B"/>
    <w:rsid w:val="000A46DC"/>
    <w:rsid w:val="000A5418"/>
    <w:rsid w:val="000B1B6D"/>
    <w:rsid w:val="000C679B"/>
    <w:rsid w:val="000D47FB"/>
    <w:rsid w:val="000D6870"/>
    <w:rsid w:val="000E37F7"/>
    <w:rsid w:val="000F345F"/>
    <w:rsid w:val="000F517C"/>
    <w:rsid w:val="000F5540"/>
    <w:rsid w:val="00105F1A"/>
    <w:rsid w:val="00122682"/>
    <w:rsid w:val="00125FBD"/>
    <w:rsid w:val="001409B2"/>
    <w:rsid w:val="00152636"/>
    <w:rsid w:val="001539DD"/>
    <w:rsid w:val="00156782"/>
    <w:rsid w:val="00165F01"/>
    <w:rsid w:val="00172C69"/>
    <w:rsid w:val="001731F4"/>
    <w:rsid w:val="001916F2"/>
    <w:rsid w:val="001930A7"/>
    <w:rsid w:val="00196568"/>
    <w:rsid w:val="00197C18"/>
    <w:rsid w:val="001A22CA"/>
    <w:rsid w:val="001A2F16"/>
    <w:rsid w:val="001B1804"/>
    <w:rsid w:val="001B18C2"/>
    <w:rsid w:val="001C443F"/>
    <w:rsid w:val="001C61A5"/>
    <w:rsid w:val="001C6707"/>
    <w:rsid w:val="001D2D33"/>
    <w:rsid w:val="001D5D7E"/>
    <w:rsid w:val="001D74A3"/>
    <w:rsid w:val="001E623F"/>
    <w:rsid w:val="001F5947"/>
    <w:rsid w:val="00202410"/>
    <w:rsid w:val="00214A0C"/>
    <w:rsid w:val="0021588B"/>
    <w:rsid w:val="002161B6"/>
    <w:rsid w:val="002216AC"/>
    <w:rsid w:val="002318E8"/>
    <w:rsid w:val="002475E2"/>
    <w:rsid w:val="00247A68"/>
    <w:rsid w:val="002506D2"/>
    <w:rsid w:val="00250DE2"/>
    <w:rsid w:val="00254A1B"/>
    <w:rsid w:val="0026064A"/>
    <w:rsid w:val="00264566"/>
    <w:rsid w:val="0028454D"/>
    <w:rsid w:val="002917C8"/>
    <w:rsid w:val="00291C9E"/>
    <w:rsid w:val="002926D4"/>
    <w:rsid w:val="0029734E"/>
    <w:rsid w:val="002A0111"/>
    <w:rsid w:val="002A3CF5"/>
    <w:rsid w:val="002A7948"/>
    <w:rsid w:val="002B06A3"/>
    <w:rsid w:val="002B435C"/>
    <w:rsid w:val="002B447F"/>
    <w:rsid w:val="002C07DA"/>
    <w:rsid w:val="002C2A49"/>
    <w:rsid w:val="002C57C1"/>
    <w:rsid w:val="002C7EA9"/>
    <w:rsid w:val="002F1F24"/>
    <w:rsid w:val="002F575D"/>
    <w:rsid w:val="002F5963"/>
    <w:rsid w:val="0030313A"/>
    <w:rsid w:val="00305238"/>
    <w:rsid w:val="003113D7"/>
    <w:rsid w:val="00311E8A"/>
    <w:rsid w:val="00335F14"/>
    <w:rsid w:val="0034101F"/>
    <w:rsid w:val="00341075"/>
    <w:rsid w:val="00341837"/>
    <w:rsid w:val="00342F20"/>
    <w:rsid w:val="00350389"/>
    <w:rsid w:val="00360377"/>
    <w:rsid w:val="00360C8D"/>
    <w:rsid w:val="00366548"/>
    <w:rsid w:val="0038005B"/>
    <w:rsid w:val="003809C7"/>
    <w:rsid w:val="0038236C"/>
    <w:rsid w:val="00386EF7"/>
    <w:rsid w:val="00393DCD"/>
    <w:rsid w:val="00395B40"/>
    <w:rsid w:val="003A2006"/>
    <w:rsid w:val="003A54E1"/>
    <w:rsid w:val="003A6568"/>
    <w:rsid w:val="003B4FD1"/>
    <w:rsid w:val="003B6263"/>
    <w:rsid w:val="003C29E6"/>
    <w:rsid w:val="003C64A7"/>
    <w:rsid w:val="003C6A68"/>
    <w:rsid w:val="003D1128"/>
    <w:rsid w:val="003D1671"/>
    <w:rsid w:val="003D3D47"/>
    <w:rsid w:val="003D3FDA"/>
    <w:rsid w:val="003D6D00"/>
    <w:rsid w:val="003E166F"/>
    <w:rsid w:val="003F307E"/>
    <w:rsid w:val="004001E5"/>
    <w:rsid w:val="0041313C"/>
    <w:rsid w:val="00414F83"/>
    <w:rsid w:val="00420822"/>
    <w:rsid w:val="00420C74"/>
    <w:rsid w:val="00437FA4"/>
    <w:rsid w:val="00441526"/>
    <w:rsid w:val="004465AA"/>
    <w:rsid w:val="00446A5E"/>
    <w:rsid w:val="0045458F"/>
    <w:rsid w:val="004633B4"/>
    <w:rsid w:val="00495CED"/>
    <w:rsid w:val="004A2F96"/>
    <w:rsid w:val="004A4BDF"/>
    <w:rsid w:val="004B3553"/>
    <w:rsid w:val="004B3F4B"/>
    <w:rsid w:val="004E1FCA"/>
    <w:rsid w:val="004E47D6"/>
    <w:rsid w:val="00503189"/>
    <w:rsid w:val="00503A71"/>
    <w:rsid w:val="005153F9"/>
    <w:rsid w:val="00516BD1"/>
    <w:rsid w:val="005206E9"/>
    <w:rsid w:val="00526D01"/>
    <w:rsid w:val="005272F1"/>
    <w:rsid w:val="00530E8C"/>
    <w:rsid w:val="00535D34"/>
    <w:rsid w:val="00545933"/>
    <w:rsid w:val="00551413"/>
    <w:rsid w:val="00552105"/>
    <w:rsid w:val="00554B55"/>
    <w:rsid w:val="005562F2"/>
    <w:rsid w:val="00557544"/>
    <w:rsid w:val="00565BBB"/>
    <w:rsid w:val="005805BF"/>
    <w:rsid w:val="00585F3C"/>
    <w:rsid w:val="00586CA0"/>
    <w:rsid w:val="00587875"/>
    <w:rsid w:val="005A13E6"/>
    <w:rsid w:val="005A1D07"/>
    <w:rsid w:val="005A63EB"/>
    <w:rsid w:val="005A7D0A"/>
    <w:rsid w:val="005B0876"/>
    <w:rsid w:val="005C33B6"/>
    <w:rsid w:val="005D6202"/>
    <w:rsid w:val="005D6E98"/>
    <w:rsid w:val="005E3A0A"/>
    <w:rsid w:val="00607E2B"/>
    <w:rsid w:val="006139D6"/>
    <w:rsid w:val="00616D1B"/>
    <w:rsid w:val="00623BB4"/>
    <w:rsid w:val="00623CE1"/>
    <w:rsid w:val="00627880"/>
    <w:rsid w:val="0063062B"/>
    <w:rsid w:val="00634A82"/>
    <w:rsid w:val="00637351"/>
    <w:rsid w:val="006401A3"/>
    <w:rsid w:val="00643979"/>
    <w:rsid w:val="00646166"/>
    <w:rsid w:val="00654896"/>
    <w:rsid w:val="006621F0"/>
    <w:rsid w:val="006647BA"/>
    <w:rsid w:val="00666D01"/>
    <w:rsid w:val="00667229"/>
    <w:rsid w:val="00670784"/>
    <w:rsid w:val="00673A74"/>
    <w:rsid w:val="00682BE5"/>
    <w:rsid w:val="00683846"/>
    <w:rsid w:val="00690FED"/>
    <w:rsid w:val="006939A5"/>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42D5"/>
    <w:rsid w:val="0075493D"/>
    <w:rsid w:val="00762576"/>
    <w:rsid w:val="007673CA"/>
    <w:rsid w:val="00772348"/>
    <w:rsid w:val="00784AC0"/>
    <w:rsid w:val="00786C4B"/>
    <w:rsid w:val="00791060"/>
    <w:rsid w:val="007926EA"/>
    <w:rsid w:val="007948D0"/>
    <w:rsid w:val="00796AE0"/>
    <w:rsid w:val="007B2674"/>
    <w:rsid w:val="007B5626"/>
    <w:rsid w:val="007B6124"/>
    <w:rsid w:val="007D3C53"/>
    <w:rsid w:val="007E3A0F"/>
    <w:rsid w:val="007E6162"/>
    <w:rsid w:val="007F2628"/>
    <w:rsid w:val="007F2FBA"/>
    <w:rsid w:val="00800C3A"/>
    <w:rsid w:val="0080570B"/>
    <w:rsid w:val="00810893"/>
    <w:rsid w:val="008148E1"/>
    <w:rsid w:val="00821646"/>
    <w:rsid w:val="008319BF"/>
    <w:rsid w:val="00831E73"/>
    <w:rsid w:val="00834BC2"/>
    <w:rsid w:val="008415F0"/>
    <w:rsid w:val="008433C2"/>
    <w:rsid w:val="00844457"/>
    <w:rsid w:val="008454C8"/>
    <w:rsid w:val="00851D78"/>
    <w:rsid w:val="008810AF"/>
    <w:rsid w:val="00883B04"/>
    <w:rsid w:val="008A016F"/>
    <w:rsid w:val="008A1A0D"/>
    <w:rsid w:val="008A3CA7"/>
    <w:rsid w:val="008A72E1"/>
    <w:rsid w:val="008A76ED"/>
    <w:rsid w:val="008B29C1"/>
    <w:rsid w:val="008B3C72"/>
    <w:rsid w:val="008B7C50"/>
    <w:rsid w:val="008C1266"/>
    <w:rsid w:val="008C5FED"/>
    <w:rsid w:val="008D0E09"/>
    <w:rsid w:val="008D5FDA"/>
    <w:rsid w:val="008E3802"/>
    <w:rsid w:val="008F101F"/>
    <w:rsid w:val="008F66D3"/>
    <w:rsid w:val="00903007"/>
    <w:rsid w:val="009072AA"/>
    <w:rsid w:val="00923816"/>
    <w:rsid w:val="0092727B"/>
    <w:rsid w:val="0093074B"/>
    <w:rsid w:val="00930E64"/>
    <w:rsid w:val="009313F3"/>
    <w:rsid w:val="009374C0"/>
    <w:rsid w:val="00943CF9"/>
    <w:rsid w:val="00956F8C"/>
    <w:rsid w:val="0096198B"/>
    <w:rsid w:val="00961D57"/>
    <w:rsid w:val="00967BA8"/>
    <w:rsid w:val="00975885"/>
    <w:rsid w:val="00976716"/>
    <w:rsid w:val="0097693B"/>
    <w:rsid w:val="00993355"/>
    <w:rsid w:val="009935BC"/>
    <w:rsid w:val="009963F7"/>
    <w:rsid w:val="009A11CB"/>
    <w:rsid w:val="009A4A6D"/>
    <w:rsid w:val="009A5295"/>
    <w:rsid w:val="009A6757"/>
    <w:rsid w:val="009B442E"/>
    <w:rsid w:val="009B44DD"/>
    <w:rsid w:val="009B7E42"/>
    <w:rsid w:val="009D46CE"/>
    <w:rsid w:val="009D4ADA"/>
    <w:rsid w:val="009D6B60"/>
    <w:rsid w:val="009E13DD"/>
    <w:rsid w:val="009F1067"/>
    <w:rsid w:val="009F547A"/>
    <w:rsid w:val="00A03D78"/>
    <w:rsid w:val="00A0503B"/>
    <w:rsid w:val="00A059CD"/>
    <w:rsid w:val="00A13265"/>
    <w:rsid w:val="00A14900"/>
    <w:rsid w:val="00A2159F"/>
    <w:rsid w:val="00A272A5"/>
    <w:rsid w:val="00A324FF"/>
    <w:rsid w:val="00A34D24"/>
    <w:rsid w:val="00A50F84"/>
    <w:rsid w:val="00A529BC"/>
    <w:rsid w:val="00A5346C"/>
    <w:rsid w:val="00A53B60"/>
    <w:rsid w:val="00A53F51"/>
    <w:rsid w:val="00A562F0"/>
    <w:rsid w:val="00A564FB"/>
    <w:rsid w:val="00A614C1"/>
    <w:rsid w:val="00A61EA6"/>
    <w:rsid w:val="00A657BF"/>
    <w:rsid w:val="00A66BBA"/>
    <w:rsid w:val="00A71136"/>
    <w:rsid w:val="00A7380A"/>
    <w:rsid w:val="00A80590"/>
    <w:rsid w:val="00A92578"/>
    <w:rsid w:val="00A95CBD"/>
    <w:rsid w:val="00A96FA8"/>
    <w:rsid w:val="00AA474C"/>
    <w:rsid w:val="00AC35EF"/>
    <w:rsid w:val="00AC4D5B"/>
    <w:rsid w:val="00AD1DDB"/>
    <w:rsid w:val="00AD2697"/>
    <w:rsid w:val="00AD7E5F"/>
    <w:rsid w:val="00AE3066"/>
    <w:rsid w:val="00AF656B"/>
    <w:rsid w:val="00AF68E4"/>
    <w:rsid w:val="00B00A87"/>
    <w:rsid w:val="00B01AA1"/>
    <w:rsid w:val="00B06025"/>
    <w:rsid w:val="00B13619"/>
    <w:rsid w:val="00B14028"/>
    <w:rsid w:val="00B1405F"/>
    <w:rsid w:val="00B14905"/>
    <w:rsid w:val="00B30C81"/>
    <w:rsid w:val="00B30DA1"/>
    <w:rsid w:val="00B4159C"/>
    <w:rsid w:val="00B42932"/>
    <w:rsid w:val="00B46DD7"/>
    <w:rsid w:val="00B4793B"/>
    <w:rsid w:val="00B52B0B"/>
    <w:rsid w:val="00B54E23"/>
    <w:rsid w:val="00B56099"/>
    <w:rsid w:val="00B64A60"/>
    <w:rsid w:val="00B8468D"/>
    <w:rsid w:val="00B937D7"/>
    <w:rsid w:val="00B96B67"/>
    <w:rsid w:val="00BB0EA4"/>
    <w:rsid w:val="00BC57EF"/>
    <w:rsid w:val="00BC69DB"/>
    <w:rsid w:val="00BD2C10"/>
    <w:rsid w:val="00BE3A03"/>
    <w:rsid w:val="00BE6B6B"/>
    <w:rsid w:val="00BF25F9"/>
    <w:rsid w:val="00C013F2"/>
    <w:rsid w:val="00C056E3"/>
    <w:rsid w:val="00C13FD5"/>
    <w:rsid w:val="00C15633"/>
    <w:rsid w:val="00C15799"/>
    <w:rsid w:val="00C27D72"/>
    <w:rsid w:val="00C31A8D"/>
    <w:rsid w:val="00C32E84"/>
    <w:rsid w:val="00C35415"/>
    <w:rsid w:val="00C357AD"/>
    <w:rsid w:val="00C451F2"/>
    <w:rsid w:val="00C51C5F"/>
    <w:rsid w:val="00C554CC"/>
    <w:rsid w:val="00C6069C"/>
    <w:rsid w:val="00C67952"/>
    <w:rsid w:val="00C70477"/>
    <w:rsid w:val="00C74745"/>
    <w:rsid w:val="00C85119"/>
    <w:rsid w:val="00C90483"/>
    <w:rsid w:val="00C95C48"/>
    <w:rsid w:val="00C96D9F"/>
    <w:rsid w:val="00CA41E7"/>
    <w:rsid w:val="00CD0E15"/>
    <w:rsid w:val="00CD170C"/>
    <w:rsid w:val="00CD320B"/>
    <w:rsid w:val="00CD3F37"/>
    <w:rsid w:val="00CD5431"/>
    <w:rsid w:val="00CE4B93"/>
    <w:rsid w:val="00CE4BE4"/>
    <w:rsid w:val="00CF2491"/>
    <w:rsid w:val="00CF3963"/>
    <w:rsid w:val="00D07F09"/>
    <w:rsid w:val="00D1252E"/>
    <w:rsid w:val="00D13D9D"/>
    <w:rsid w:val="00D1413E"/>
    <w:rsid w:val="00D33C59"/>
    <w:rsid w:val="00D405AD"/>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62F1"/>
    <w:rsid w:val="00DD7C09"/>
    <w:rsid w:val="00DF0EB4"/>
    <w:rsid w:val="00DF111E"/>
    <w:rsid w:val="00E0124F"/>
    <w:rsid w:val="00E5762A"/>
    <w:rsid w:val="00E617D2"/>
    <w:rsid w:val="00E674D3"/>
    <w:rsid w:val="00E70FD0"/>
    <w:rsid w:val="00E72B2C"/>
    <w:rsid w:val="00E7309D"/>
    <w:rsid w:val="00E77C4B"/>
    <w:rsid w:val="00E9301F"/>
    <w:rsid w:val="00E9690A"/>
    <w:rsid w:val="00E97DC7"/>
    <w:rsid w:val="00EE4620"/>
    <w:rsid w:val="00EF6C13"/>
    <w:rsid w:val="00F000EF"/>
    <w:rsid w:val="00F065D4"/>
    <w:rsid w:val="00F2504E"/>
    <w:rsid w:val="00F2585B"/>
    <w:rsid w:val="00F265FA"/>
    <w:rsid w:val="00F40500"/>
    <w:rsid w:val="00F4053F"/>
    <w:rsid w:val="00F46A2F"/>
    <w:rsid w:val="00F516E7"/>
    <w:rsid w:val="00F57BF7"/>
    <w:rsid w:val="00F6263E"/>
    <w:rsid w:val="00F627C2"/>
    <w:rsid w:val="00F736FD"/>
    <w:rsid w:val="00F84067"/>
    <w:rsid w:val="00F84557"/>
    <w:rsid w:val="00F87071"/>
    <w:rsid w:val="00FA50B4"/>
    <w:rsid w:val="00FB3B13"/>
    <w:rsid w:val="00FB6E83"/>
    <w:rsid w:val="00FC156A"/>
    <w:rsid w:val="00FD08CE"/>
    <w:rsid w:val="00FD1A4D"/>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5BAF58B5-4B3C-4B28-B7B9-34AB6B23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C1"/>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unhideWhenUsed/>
    <w:qFormat/>
    <w:rsid w:val="00967BA8"/>
    <w:pPr>
      <w:keepNext/>
      <w:ind w:leftChars="300" w:left="300" w:hangingChars="200" w:hanging="2000"/>
      <w:outlineLvl w:val="2"/>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바탕글"/>
    <w:basedOn w:val="Normal"/>
    <w:rsid w:val="00A50F84"/>
    <w:pPr>
      <w:widowControl w:val="0"/>
      <w:wordWrap w:val="0"/>
      <w:autoSpaceDE w:val="0"/>
      <w:autoSpaceDN w:val="0"/>
      <w:snapToGrid w:val="0"/>
      <w:spacing w:line="384" w:lineRule="auto"/>
      <w:jc w:val="both"/>
      <w:textAlignment w:val="baseline"/>
    </w:pPr>
    <w:rPr>
      <w:rFonts w:ascii="Gulim" w:eastAsia="Gulim" w:hAnsi="Gulim" w:cs="Gulim"/>
      <w:color w:val="000000"/>
      <w:sz w:val="20"/>
      <w:szCs w:val="20"/>
      <w:lang w:eastAsia="ko-KR"/>
    </w:rPr>
  </w:style>
  <w:style w:type="paragraph" w:customStyle="1" w:styleId="MS">
    <w:name w:val="MS바탕글"/>
    <w:basedOn w:val="Normal"/>
    <w:rsid w:val="00A50F84"/>
    <w:pPr>
      <w:tabs>
        <w:tab w:val="left" w:pos="1134"/>
        <w:tab w:val="left" w:pos="1872"/>
        <w:tab w:val="left" w:pos="2268"/>
      </w:tabs>
      <w:autoSpaceDE w:val="0"/>
      <w:autoSpaceDN w:val="0"/>
      <w:spacing w:before="120"/>
      <w:jc w:val="both"/>
      <w:textAlignment w:val="baseline"/>
    </w:pPr>
    <w:rPr>
      <w:rFonts w:ascii="Gulim" w:eastAsia="Gulim" w:hAnsi="Gulim" w:cs="Gulim"/>
      <w:color w:val="000000"/>
      <w:lang w:eastAsia="ko-KR"/>
    </w:rPr>
  </w:style>
  <w:style w:type="character" w:customStyle="1" w:styleId="Heading3Char">
    <w:name w:val="Heading 3 Char"/>
    <w:basedOn w:val="DefaultParagraphFont"/>
    <w:link w:val="Heading3"/>
    <w:rsid w:val="00967BA8"/>
    <w:rPr>
      <w:rFonts w:asciiTheme="majorHAnsi" w:eastAsiaTheme="majorEastAsia" w:hAnsiTheme="majorHAnsi" w:cstheme="majorBidi"/>
      <w:sz w:val="24"/>
      <w:szCs w:val="24"/>
    </w:rPr>
  </w:style>
  <w:style w:type="character" w:styleId="FollowedHyperlink">
    <w:name w:val="FollowedHyperlink"/>
    <w:basedOn w:val="DefaultParagraphFont"/>
    <w:semiHidden/>
    <w:unhideWhenUsed/>
    <w:rsid w:val="008B29C1"/>
    <w:rPr>
      <w:color w:val="800080" w:themeColor="followedHyperlink"/>
      <w:u w:val="single"/>
    </w:rPr>
  </w:style>
  <w:style w:type="table" w:customStyle="1" w:styleId="2">
    <w:name w:val="表 (格子)2"/>
    <w:basedOn w:val="TableNormal"/>
    <w:next w:val="TableGrid"/>
    <w:rsid w:val="005A1D07"/>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sid w:val="007E6162"/>
    <w:rPr>
      <w:rFonts w:eastAsia="MS Mincho"/>
      <w:sz w:val="24"/>
      <w:lang w:val="en-GB"/>
    </w:rPr>
  </w:style>
  <w:style w:type="paragraph" w:customStyle="1" w:styleId="enumlev1">
    <w:name w:val="enumlev1"/>
    <w:basedOn w:val="Normal"/>
    <w:link w:val="enumlev1Char"/>
    <w:qFormat/>
    <w:rsid w:val="007E6162"/>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character" w:customStyle="1" w:styleId="Artref">
    <w:name w:val="Art_ref"/>
    <w:basedOn w:val="DefaultParagraphFont"/>
    <w:qFormat/>
    <w:rsid w:val="007E6162"/>
  </w:style>
  <w:style w:type="paragraph" w:customStyle="1" w:styleId="Headingb">
    <w:name w:val="Heading_b"/>
    <w:basedOn w:val="Normal"/>
    <w:next w:val="Normal"/>
    <w:link w:val="HeadingbChar"/>
    <w:qFormat/>
    <w:rsid w:val="007E6162"/>
    <w:pPr>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cs="Times New Roman Bold"/>
      <w:b/>
      <w:szCs w:val="20"/>
      <w:lang w:val="fr-CH"/>
    </w:rPr>
  </w:style>
  <w:style w:type="character" w:customStyle="1" w:styleId="HeadingbChar">
    <w:name w:val="Heading_b Char"/>
    <w:basedOn w:val="DefaultParagraphFont"/>
    <w:link w:val="Headingb"/>
    <w:locked/>
    <w:rsid w:val="007E6162"/>
    <w:rPr>
      <w:rFonts w:ascii="Times New Roman Bold" w:hAnsi="Times New Roman Bold" w:cs="Times New Roman Bold"/>
      <w:b/>
      <w:sz w:val="24"/>
      <w:lang w:val="fr-CH"/>
    </w:rPr>
  </w:style>
  <w:style w:type="paragraph" w:customStyle="1" w:styleId="enumlev2">
    <w:name w:val="enumlev2"/>
    <w:basedOn w:val="enumlev1"/>
    <w:rsid w:val="007E6162"/>
    <w:pPr>
      <w:ind w:left="1871" w:hanging="737"/>
      <w:textAlignment w:val="baseline"/>
    </w:pPr>
    <w:rPr>
      <w:rFonts w:eastAsia="Batang"/>
    </w:rPr>
  </w:style>
  <w:style w:type="character" w:customStyle="1" w:styleId="ListParagraphChar">
    <w:name w:val="List Paragraph Char"/>
    <w:link w:val="ListParagraph"/>
    <w:uiPriority w:val="34"/>
    <w:locked/>
    <w:rsid w:val="00013F1D"/>
    <w:rPr>
      <w:rFonts w:eastAsia="BatangChe"/>
      <w:sz w:val="24"/>
      <w:szCs w:val="24"/>
    </w:rPr>
  </w:style>
  <w:style w:type="character" w:customStyle="1" w:styleId="Heading8Char">
    <w:name w:val="Heading 8 Char"/>
    <w:basedOn w:val="DefaultParagraphFont"/>
    <w:link w:val="Heading8"/>
    <w:rsid w:val="00C31A8D"/>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53">
      <w:bodyDiv w:val="1"/>
      <w:marLeft w:val="0"/>
      <w:marRight w:val="0"/>
      <w:marTop w:val="0"/>
      <w:marBottom w:val="0"/>
      <w:divBdr>
        <w:top w:val="none" w:sz="0" w:space="0" w:color="auto"/>
        <w:left w:val="none" w:sz="0" w:space="0" w:color="auto"/>
        <w:bottom w:val="none" w:sz="0" w:space="0" w:color="auto"/>
        <w:right w:val="none" w:sz="0" w:space="0" w:color="auto"/>
      </w:divBdr>
      <w:divsChild>
        <w:div w:id="1597247289">
          <w:marLeft w:val="1008"/>
          <w:marRight w:val="0"/>
          <w:marTop w:val="96"/>
          <w:marBottom w:val="0"/>
          <w:divBdr>
            <w:top w:val="none" w:sz="0" w:space="0" w:color="auto"/>
            <w:left w:val="none" w:sz="0" w:space="0" w:color="auto"/>
            <w:bottom w:val="none" w:sz="0" w:space="0" w:color="auto"/>
            <w:right w:val="none" w:sz="0" w:space="0" w:color="auto"/>
          </w:divBdr>
        </w:div>
      </w:divsChild>
    </w:div>
    <w:div w:id="688608589">
      <w:bodyDiv w:val="1"/>
      <w:marLeft w:val="0"/>
      <w:marRight w:val="0"/>
      <w:marTop w:val="0"/>
      <w:marBottom w:val="0"/>
      <w:divBdr>
        <w:top w:val="none" w:sz="0" w:space="0" w:color="auto"/>
        <w:left w:val="none" w:sz="0" w:space="0" w:color="auto"/>
        <w:bottom w:val="none" w:sz="0" w:space="0" w:color="auto"/>
        <w:right w:val="none" w:sz="0" w:space="0" w:color="auto"/>
      </w:divBdr>
    </w:div>
    <w:div w:id="876164734">
      <w:bodyDiv w:val="1"/>
      <w:marLeft w:val="0"/>
      <w:marRight w:val="0"/>
      <w:marTop w:val="0"/>
      <w:marBottom w:val="0"/>
      <w:divBdr>
        <w:top w:val="none" w:sz="0" w:space="0" w:color="auto"/>
        <w:left w:val="none" w:sz="0" w:space="0" w:color="auto"/>
        <w:bottom w:val="none" w:sz="0" w:space="0" w:color="auto"/>
        <w:right w:val="none" w:sz="0" w:space="0" w:color="auto"/>
      </w:divBdr>
    </w:div>
    <w:div w:id="94584215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5C5D-2907-4C5F-A869-0529BC37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2222</Words>
  <Characters>12672</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3</cp:revision>
  <cp:lastPrinted>2015-02-02T07:28:00Z</cp:lastPrinted>
  <dcterms:created xsi:type="dcterms:W3CDTF">2019-01-15T01:50:00Z</dcterms:created>
  <dcterms:modified xsi:type="dcterms:W3CDTF">2019-01-15T01:51:00Z</dcterms:modified>
</cp:coreProperties>
</file>