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rsidTr="00BC5B60">
        <w:trPr>
          <w:cantSplit/>
          <w:trHeight w:val="288"/>
        </w:trPr>
        <w:tc>
          <w:tcPr>
            <w:tcW w:w="1399" w:type="dxa"/>
            <w:vMerge w:val="restart"/>
          </w:tcPr>
          <w:p w:rsidR="00C516C7" w:rsidRPr="00891D0B" w:rsidRDefault="00C516C7" w:rsidP="00BC5B6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C516C7" w:rsidRPr="00E86131" w:rsidRDefault="00C516C7" w:rsidP="00BC5B60">
            <w:r w:rsidRPr="00E86131">
              <w:t>ASIA-PACIFIC TELECOMMUNITY</w:t>
            </w:r>
          </w:p>
        </w:tc>
        <w:tc>
          <w:tcPr>
            <w:tcW w:w="2160" w:type="dxa"/>
          </w:tcPr>
          <w:p w:rsidR="00C516C7" w:rsidRPr="00723BE9" w:rsidRDefault="00C516C7" w:rsidP="00BC5B60">
            <w:pPr>
              <w:rPr>
                <w:b/>
                <w:sz w:val="22"/>
                <w:szCs w:val="22"/>
              </w:rPr>
            </w:pPr>
            <w:r w:rsidRPr="00723BE9">
              <w:rPr>
                <w:b/>
              </w:rPr>
              <w:t>Document No:</w:t>
            </w:r>
          </w:p>
        </w:tc>
      </w:tr>
      <w:tr w:rsidR="00C516C7" w:rsidRPr="00C15799" w:rsidTr="00BC5B60">
        <w:trPr>
          <w:cantSplit/>
          <w:trHeight w:val="504"/>
        </w:trPr>
        <w:tc>
          <w:tcPr>
            <w:tcW w:w="1399" w:type="dxa"/>
            <w:vMerge/>
          </w:tcPr>
          <w:p w:rsidR="00C516C7" w:rsidRPr="00891D0B" w:rsidRDefault="00C516C7" w:rsidP="00BC5B60"/>
        </w:tc>
        <w:tc>
          <w:tcPr>
            <w:tcW w:w="5760" w:type="dxa"/>
          </w:tcPr>
          <w:p w:rsidR="00C516C7" w:rsidRDefault="00C516C7" w:rsidP="00BC5B60">
            <w:pPr>
              <w:spacing w:line="0" w:lineRule="atLeast"/>
              <w:rPr>
                <w:b/>
              </w:rPr>
            </w:pPr>
            <w:r>
              <w:rPr>
                <w:b/>
              </w:rPr>
              <w:t xml:space="preserve">The </w:t>
            </w:r>
            <w:r w:rsidR="00CD256B">
              <w:rPr>
                <w:b/>
              </w:rPr>
              <w:t>5</w:t>
            </w:r>
            <w:r>
              <w:rPr>
                <w:b/>
              </w:rPr>
              <w:t>th Meeting of the APT Conference Preparatory</w:t>
            </w:r>
          </w:p>
          <w:p w:rsidR="00C516C7" w:rsidRPr="00891D0B" w:rsidRDefault="00C516C7" w:rsidP="00CD256B">
            <w:pPr>
              <w:spacing w:line="0" w:lineRule="atLeast"/>
            </w:pPr>
            <w:r>
              <w:rPr>
                <w:b/>
              </w:rPr>
              <w:t>Group for WRC-19 (APG19-</w:t>
            </w:r>
            <w:r w:rsidR="00CD256B">
              <w:rPr>
                <w:b/>
              </w:rPr>
              <w:t>5</w:t>
            </w:r>
            <w:r>
              <w:rPr>
                <w:b/>
              </w:rPr>
              <w:t>)</w:t>
            </w:r>
          </w:p>
        </w:tc>
        <w:tc>
          <w:tcPr>
            <w:tcW w:w="2160" w:type="dxa"/>
          </w:tcPr>
          <w:p w:rsidR="00C516C7" w:rsidRPr="00C77CEB" w:rsidRDefault="00C516C7" w:rsidP="00C77CEB">
            <w:pPr>
              <w:rPr>
                <w:b/>
                <w:bCs/>
                <w:lang w:val="fr-FR"/>
              </w:rPr>
            </w:pPr>
            <w:r w:rsidRPr="00C96104">
              <w:rPr>
                <w:b/>
                <w:bCs/>
                <w:lang w:val="fr-FR"/>
              </w:rPr>
              <w:t>AP</w:t>
            </w:r>
            <w:r>
              <w:rPr>
                <w:b/>
                <w:bCs/>
                <w:lang w:val="fr-FR"/>
              </w:rPr>
              <w:t>G19-</w:t>
            </w:r>
            <w:r w:rsidR="00CD256B">
              <w:rPr>
                <w:b/>
                <w:bCs/>
                <w:lang w:val="fr-FR"/>
              </w:rPr>
              <w:t>5</w:t>
            </w:r>
            <w:r>
              <w:rPr>
                <w:b/>
                <w:bCs/>
                <w:lang w:val="fr-FR"/>
              </w:rPr>
              <w:t>/</w:t>
            </w:r>
            <w:r w:rsidR="00C77CEB">
              <w:rPr>
                <w:b/>
                <w:bCs/>
                <w:lang w:val="fr-FR"/>
              </w:rPr>
              <w:t>OUT-12</w:t>
            </w:r>
          </w:p>
        </w:tc>
      </w:tr>
      <w:tr w:rsidR="00C516C7" w:rsidRPr="00891D0B" w:rsidTr="00BC5B60">
        <w:trPr>
          <w:cantSplit/>
          <w:trHeight w:val="288"/>
        </w:trPr>
        <w:tc>
          <w:tcPr>
            <w:tcW w:w="1399" w:type="dxa"/>
            <w:vMerge/>
          </w:tcPr>
          <w:p w:rsidR="00C516C7" w:rsidRPr="007E1FDD" w:rsidRDefault="00C516C7" w:rsidP="00BC5B60">
            <w:pPr>
              <w:rPr>
                <w:lang w:val="en-GB"/>
              </w:rPr>
            </w:pPr>
          </w:p>
        </w:tc>
        <w:tc>
          <w:tcPr>
            <w:tcW w:w="5760" w:type="dxa"/>
            <w:vAlign w:val="bottom"/>
          </w:tcPr>
          <w:p w:rsidR="00C516C7" w:rsidRPr="00712451" w:rsidRDefault="00CD256B" w:rsidP="00CD256B">
            <w:pPr>
              <w:rPr>
                <w:b/>
              </w:rPr>
            </w:pPr>
            <w:r>
              <w:t xml:space="preserve">31July </w:t>
            </w:r>
            <w:r w:rsidR="00C516C7">
              <w:t xml:space="preserve">– </w:t>
            </w:r>
            <w:r>
              <w:t>6August</w:t>
            </w:r>
            <w:r w:rsidR="00C516C7">
              <w:t xml:space="preserve"> 2019</w:t>
            </w:r>
            <w:r w:rsidR="00C516C7" w:rsidRPr="00891D0B">
              <w:t xml:space="preserve">, </w:t>
            </w:r>
            <w:r>
              <w:t>Tokyo</w:t>
            </w:r>
            <w:r w:rsidR="00C516C7">
              <w:t xml:space="preserve">, </w:t>
            </w:r>
            <w:r>
              <w:t>J</w:t>
            </w:r>
            <w:r w:rsidR="00C516C7">
              <w:t>a</w:t>
            </w:r>
            <w:r>
              <w:t>pan</w:t>
            </w:r>
          </w:p>
        </w:tc>
        <w:tc>
          <w:tcPr>
            <w:tcW w:w="2160" w:type="dxa"/>
            <w:vAlign w:val="bottom"/>
          </w:tcPr>
          <w:p w:rsidR="00C516C7" w:rsidRDefault="00C77CEB" w:rsidP="00C95572">
            <w:r>
              <w:rPr>
                <w:bCs/>
              </w:rPr>
              <w:t>5</w:t>
            </w:r>
            <w:r w:rsidR="002921F1">
              <w:rPr>
                <w:bCs/>
              </w:rPr>
              <w:t xml:space="preserve"> </w:t>
            </w:r>
            <w:r w:rsidR="00C95572">
              <w:rPr>
                <w:bCs/>
              </w:rPr>
              <w:t>August</w:t>
            </w:r>
            <w:r w:rsidR="001E40D8">
              <w:rPr>
                <w:bCs/>
              </w:rPr>
              <w:t xml:space="preserve"> </w:t>
            </w:r>
            <w:r w:rsidR="00C516C7" w:rsidRPr="007E1FDD">
              <w:rPr>
                <w:bCs/>
              </w:rPr>
              <w:t>201</w:t>
            </w:r>
            <w:r w:rsidR="00C516C7">
              <w:rPr>
                <w:bCs/>
              </w:rPr>
              <w:t>9</w:t>
            </w:r>
          </w:p>
        </w:tc>
      </w:tr>
    </w:tbl>
    <w:p w:rsidR="00311E8A" w:rsidRDefault="00311E8A" w:rsidP="0072518B">
      <w:pPr>
        <w:jc w:val="center"/>
        <w:rPr>
          <w:lang w:val="en-NZ"/>
        </w:rPr>
      </w:pPr>
    </w:p>
    <w:p w:rsidR="00B64A60" w:rsidRPr="002A0111" w:rsidRDefault="00C77CEB" w:rsidP="00B64A60">
      <w:pPr>
        <w:jc w:val="center"/>
        <w:rPr>
          <w:lang w:val="en-NZ" w:eastAsia="ko-KR"/>
        </w:rPr>
      </w:pPr>
      <w:r>
        <w:rPr>
          <w:lang w:val="en-NZ" w:eastAsia="ko-KR"/>
        </w:rPr>
        <w:t>Working Party 3</w:t>
      </w:r>
    </w:p>
    <w:p w:rsidR="00B64A60" w:rsidRPr="002A0111" w:rsidRDefault="00B64A60" w:rsidP="00B64A60">
      <w:pPr>
        <w:jc w:val="center"/>
        <w:rPr>
          <w:bCs/>
          <w:caps/>
          <w:lang w:val="en-NZ"/>
        </w:rPr>
      </w:pPr>
    </w:p>
    <w:p w:rsidR="009465A6" w:rsidRDefault="009465A6" w:rsidP="00B64A60">
      <w:pPr>
        <w:jc w:val="center"/>
        <w:rPr>
          <w:b/>
          <w:bCs/>
          <w:caps/>
          <w:lang w:val="en-NZ"/>
        </w:rPr>
      </w:pPr>
      <w:r>
        <w:rPr>
          <w:b/>
          <w:bCs/>
          <w:caps/>
          <w:lang w:val="en-NZ"/>
        </w:rPr>
        <w:t xml:space="preserve">APT VIEW AND </w:t>
      </w:r>
      <w:r w:rsidR="005811B6">
        <w:rPr>
          <w:b/>
          <w:bCs/>
          <w:caps/>
          <w:lang w:val="en-NZ"/>
        </w:rPr>
        <w:t>PRELIMINARY APT COMMON PROPOSAL</w:t>
      </w:r>
    </w:p>
    <w:p w:rsidR="00B64A60" w:rsidRDefault="002921F1" w:rsidP="00BD5816">
      <w:pPr>
        <w:tabs>
          <w:tab w:val="center" w:pos="4586"/>
          <w:tab w:val="left" w:pos="7300"/>
        </w:tabs>
        <w:jc w:val="center"/>
        <w:rPr>
          <w:b/>
          <w:bCs/>
          <w:caps/>
          <w:lang w:val="en-NZ"/>
        </w:rPr>
      </w:pPr>
      <w:r>
        <w:rPr>
          <w:b/>
          <w:bCs/>
          <w:caps/>
          <w:lang w:val="en-NZ"/>
        </w:rPr>
        <w:t>on WRC-19 agenda item 7</w:t>
      </w:r>
      <w:r w:rsidR="00C77CEB">
        <w:rPr>
          <w:b/>
          <w:bCs/>
          <w:caps/>
          <w:lang w:val="en-NZ"/>
        </w:rPr>
        <w:t xml:space="preserve"> (issue </w:t>
      </w:r>
      <w:r w:rsidR="00BD5816">
        <w:rPr>
          <w:b/>
          <w:bCs/>
          <w:caps/>
          <w:lang w:val="en-NZ"/>
        </w:rPr>
        <w:t>f)</w:t>
      </w:r>
    </w:p>
    <w:p w:rsidR="00B64A60" w:rsidRPr="00441526" w:rsidRDefault="00B64A60" w:rsidP="00264566">
      <w:pPr>
        <w:spacing w:after="120"/>
        <w:rPr>
          <w:lang w:val="en-NZ"/>
        </w:rPr>
      </w:pPr>
    </w:p>
    <w:p w:rsidR="002A0111" w:rsidRPr="00441526" w:rsidRDefault="002A0111" w:rsidP="002A0111">
      <w:pPr>
        <w:spacing w:after="120"/>
        <w:jc w:val="both"/>
        <w:rPr>
          <w:lang w:val="en-NZ"/>
        </w:rPr>
      </w:pPr>
      <w:r w:rsidRPr="00441526">
        <w:rPr>
          <w:b/>
          <w:lang w:val="en-NZ"/>
        </w:rPr>
        <w:t xml:space="preserve">Agenda Item </w:t>
      </w:r>
      <w:r w:rsidR="002921F1">
        <w:rPr>
          <w:b/>
          <w:lang w:val="en-NZ"/>
        </w:rPr>
        <w:t>7</w:t>
      </w:r>
      <w:r w:rsidRPr="00441526">
        <w:rPr>
          <w:b/>
          <w:lang w:val="en-NZ"/>
        </w:rPr>
        <w:t xml:space="preserve">: </w:t>
      </w:r>
    </w:p>
    <w:p w:rsidR="002A0111" w:rsidRPr="00441526" w:rsidRDefault="002921F1" w:rsidP="002A0111">
      <w:pPr>
        <w:spacing w:after="120"/>
        <w:jc w:val="both"/>
        <w:rPr>
          <w:i/>
          <w:lang w:val="en-NZ"/>
        </w:rPr>
      </w:pPr>
      <w:r w:rsidRPr="00706F65">
        <w:rPr>
          <w:i/>
          <w:lang w:val="en-NZ"/>
        </w:rPr>
        <w:t>T</w:t>
      </w:r>
      <w:r w:rsidRPr="00706F65">
        <w:rPr>
          <w:i/>
        </w:rPr>
        <w:t>o consider possible changes, and other options, in response to Resolution </w:t>
      </w:r>
      <w:r w:rsidRPr="00706F65">
        <w:rPr>
          <w:b/>
          <w:i/>
        </w:rPr>
        <w:t>86 (Rev. Marrakesh, 2002)</w:t>
      </w:r>
      <w:r w:rsidRPr="00706F65">
        <w:rPr>
          <w:i/>
        </w:rPr>
        <w:t xml:space="preserve"> of the Plenipotentiary Conference, an advance publication, coordination, notification and recording procedures for frequency assignments pertaining to satellite networks, in accordance with Resolution </w:t>
      </w:r>
      <w:r w:rsidRPr="00706F65">
        <w:rPr>
          <w:b/>
          <w:i/>
        </w:rPr>
        <w:t>86 (Rev.WRC</w:t>
      </w:r>
      <w:r w:rsidRPr="00706F65">
        <w:rPr>
          <w:b/>
          <w:i/>
        </w:rPr>
        <w:noBreakHyphen/>
        <w:t>07)</w:t>
      </w:r>
      <w:r w:rsidRPr="00706F65">
        <w:rPr>
          <w:i/>
        </w:rPr>
        <w:t>, in order to facilitate rational, efficient and economical use of radio frequencies and any associated orbits, including the geostationary</w:t>
      </w:r>
      <w:r w:rsidRPr="00706F65">
        <w:rPr>
          <w:i/>
        </w:rPr>
        <w:noBreakHyphen/>
        <w:t>satellite orbit.</w:t>
      </w:r>
    </w:p>
    <w:p w:rsidR="00521315" w:rsidRDefault="00521315">
      <w:pPr>
        <w:rPr>
          <w:b/>
          <w:highlight w:val="yellow"/>
          <w:lang w:val="en-NZ"/>
        </w:rPr>
      </w:pPr>
    </w:p>
    <w:p w:rsidR="00131607" w:rsidRDefault="002405F7">
      <w:pPr>
        <w:rPr>
          <w:b/>
          <w:highlight w:val="yellow"/>
          <w:lang w:val="en-NZ"/>
        </w:rPr>
      </w:pPr>
      <w:r w:rsidRPr="003A30C8">
        <w:rPr>
          <w:b/>
        </w:rPr>
        <w:t>Issue F – Measures to facilitate entering new assignments into the RR Appendix 30B List</w:t>
      </w:r>
    </w:p>
    <w:p w:rsidR="002405F7" w:rsidRDefault="002405F7">
      <w:pPr>
        <w:rPr>
          <w:b/>
          <w:highlight w:val="yellow"/>
          <w:lang w:val="en-NZ"/>
        </w:rPr>
      </w:pPr>
    </w:p>
    <w:p w:rsidR="00131607" w:rsidRPr="00441526" w:rsidRDefault="00131607" w:rsidP="00131607">
      <w:pPr>
        <w:spacing w:after="120"/>
        <w:jc w:val="both"/>
        <w:rPr>
          <w:b/>
          <w:lang w:val="en-NZ" w:eastAsia="ko-KR"/>
        </w:rPr>
      </w:pPr>
      <w:r w:rsidRPr="00441526">
        <w:rPr>
          <w:b/>
          <w:lang w:val="en-NZ" w:eastAsia="ko-KR"/>
        </w:rPr>
        <w:t xml:space="preserve">1. </w:t>
      </w:r>
      <w:r w:rsidRPr="00441526">
        <w:rPr>
          <w:b/>
          <w:lang w:val="en-NZ" w:eastAsia="ko-KR"/>
        </w:rPr>
        <w:tab/>
        <w:t>Background</w:t>
      </w:r>
    </w:p>
    <w:p w:rsidR="002405F7" w:rsidRPr="0042498F" w:rsidRDefault="002405F7" w:rsidP="002405F7">
      <w:r w:rsidRPr="0042498F">
        <w:t xml:space="preserve">Article 44 of the ITU Constitution stipulates that for countries to have equitable access to spectrum/orbit resources, administrations shall limit their use to the minimum required to provide services in a satisfactory manner and to </w:t>
      </w:r>
      <w:proofErr w:type="spellStart"/>
      <w:r w:rsidRPr="0042498F">
        <w:t>endeavour</w:t>
      </w:r>
      <w:proofErr w:type="spellEnd"/>
      <w:r w:rsidRPr="0042498F">
        <w:t xml:space="preserve"> to apply the latest technical advances.</w:t>
      </w:r>
    </w:p>
    <w:p w:rsidR="002405F7" w:rsidRPr="0042498F" w:rsidRDefault="002405F7" w:rsidP="002405F7">
      <w:r w:rsidRPr="0042498F">
        <w:t>An administration which wants to convert its national allotment of RR Appendix </w:t>
      </w:r>
      <w:r w:rsidRPr="0042498F">
        <w:rPr>
          <w:rStyle w:val="Appref"/>
          <w:b/>
          <w:bCs/>
        </w:rPr>
        <w:t>30B</w:t>
      </w:r>
      <w:r w:rsidRPr="0042498F">
        <w:t xml:space="preserve"> into assignments in an economically viable manner very often needs to modify the initial characteristics of its national allotments, taking into account the latest available development and advancement in technology. For this purpose, the administration will make a submission and follow the procedures of Article </w:t>
      </w:r>
      <w:r w:rsidRPr="0042498F">
        <w:rPr>
          <w:rStyle w:val="Artref"/>
        </w:rPr>
        <w:t>6</w:t>
      </w:r>
      <w:r w:rsidRPr="0042498F">
        <w:t xml:space="preserve"> of RR Appendix </w:t>
      </w:r>
      <w:r w:rsidRPr="0042498F">
        <w:rPr>
          <w:rStyle w:val="Appref"/>
          <w:b/>
          <w:bCs/>
        </w:rPr>
        <w:t>30B</w:t>
      </w:r>
      <w:r w:rsidRPr="0042498F">
        <w:t>.</w:t>
      </w:r>
    </w:p>
    <w:p w:rsidR="002405F7" w:rsidRPr="0042498F" w:rsidRDefault="002405F7" w:rsidP="002405F7">
      <w:r w:rsidRPr="0042498F">
        <w:t>In so doing:</w:t>
      </w:r>
    </w:p>
    <w:p w:rsidR="002405F7" w:rsidRPr="0042498F" w:rsidRDefault="002405F7" w:rsidP="002405F7">
      <w:pPr>
        <w:pStyle w:val="enumlev1"/>
      </w:pPr>
      <w:r w:rsidRPr="0042498F">
        <w:t>a)</w:t>
      </w:r>
      <w:r w:rsidRPr="0042498F">
        <w:tab/>
      </w:r>
      <w:proofErr w:type="gramStart"/>
      <w:r w:rsidRPr="0042498F">
        <w:t>when</w:t>
      </w:r>
      <w:proofErr w:type="gramEnd"/>
      <w:r w:rsidRPr="0042498F">
        <w:t xml:space="preserve"> the submission is examined and published by the Bureau, the submission would need to coordinate with affected networks with higher priority; </w:t>
      </w:r>
    </w:p>
    <w:p w:rsidR="002405F7" w:rsidRPr="0042498F" w:rsidRDefault="002405F7" w:rsidP="002405F7">
      <w:pPr>
        <w:pStyle w:val="enumlev1"/>
      </w:pPr>
      <w:r w:rsidRPr="0042498F">
        <w:t>b)</w:t>
      </w:r>
      <w:r w:rsidRPr="0042498F">
        <w:tab/>
      </w:r>
      <w:proofErr w:type="gramStart"/>
      <w:r w:rsidRPr="0042498F">
        <w:t>due</w:t>
      </w:r>
      <w:proofErr w:type="gramEnd"/>
      <w:r w:rsidRPr="0042498F">
        <w:t xml:space="preserve"> to the conservative criteria used in RR Appendix </w:t>
      </w:r>
      <w:r w:rsidRPr="0042498F">
        <w:rPr>
          <w:rStyle w:val="Appref"/>
          <w:b/>
          <w:bCs/>
        </w:rPr>
        <w:t>30B</w:t>
      </w:r>
      <w:r w:rsidRPr="0042498F">
        <w:t>, a large number of coordination requirements will be identified;</w:t>
      </w:r>
    </w:p>
    <w:p w:rsidR="002405F7" w:rsidRPr="0042498F" w:rsidRDefault="002405F7" w:rsidP="002405F7">
      <w:pPr>
        <w:pStyle w:val="enumlev1"/>
      </w:pPr>
      <w:r w:rsidRPr="0042498F">
        <w:t>c)</w:t>
      </w:r>
      <w:r w:rsidRPr="0042498F">
        <w:tab/>
      </w:r>
      <w:proofErr w:type="gramStart"/>
      <w:r w:rsidRPr="0042498F">
        <w:t>networks</w:t>
      </w:r>
      <w:proofErr w:type="gramEnd"/>
      <w:r w:rsidRPr="0042498F">
        <w:t xml:space="preserve"> can be designed with combinations of characteristics, possibly unrealistic, to obtain a high sensitivity to interference from later submissions of other administrations.  </w:t>
      </w:r>
    </w:p>
    <w:p w:rsidR="00131607" w:rsidRPr="00131607" w:rsidRDefault="002405F7" w:rsidP="002405F7">
      <w:pPr>
        <w:jc w:val="both"/>
        <w:rPr>
          <w:lang w:val="en-NZ" w:eastAsia="ko-KR"/>
        </w:rPr>
      </w:pPr>
      <w:r w:rsidRPr="0042498F">
        <w:t>As a result, it may be difficult for an administration to successfully complete the coordination within the regulatory period.</w:t>
      </w:r>
    </w:p>
    <w:p w:rsidR="000F6153" w:rsidRPr="000F6153" w:rsidRDefault="000F6153" w:rsidP="000F6153">
      <w:pPr>
        <w:pStyle w:val="Heading2"/>
        <w:rPr>
          <w:rFonts w:ascii="Times New Roman" w:hAnsi="Times New Roman" w:cs="Times New Roman"/>
          <w:color w:val="auto"/>
          <w:sz w:val="24"/>
          <w:szCs w:val="24"/>
        </w:rPr>
      </w:pPr>
      <w:bookmarkStart w:id="0" w:name="_Toc524536131"/>
      <w:bookmarkStart w:id="1" w:name="_Toc2877344"/>
      <w:r w:rsidRPr="000F6153">
        <w:rPr>
          <w:rFonts w:ascii="Times New Roman" w:hAnsi="Times New Roman" w:cs="Times New Roman"/>
          <w:color w:val="auto"/>
          <w:sz w:val="24"/>
          <w:szCs w:val="24"/>
        </w:rPr>
        <w:t>Methods to satisfy Issue F</w:t>
      </w:r>
      <w:bookmarkEnd w:id="0"/>
      <w:bookmarkEnd w:id="1"/>
    </w:p>
    <w:p w:rsidR="000F6153" w:rsidRPr="000F6153" w:rsidRDefault="000F6153" w:rsidP="000F6153">
      <w:pPr>
        <w:pStyle w:val="Heading3"/>
        <w:rPr>
          <w:rFonts w:ascii="Times New Roman" w:hAnsi="Times New Roman" w:cs="Times New Roman"/>
          <w:color w:val="auto"/>
        </w:rPr>
      </w:pPr>
      <w:r w:rsidRPr="000F6153">
        <w:rPr>
          <w:rFonts w:ascii="Times New Roman" w:hAnsi="Times New Roman" w:cs="Times New Roman"/>
          <w:color w:val="auto"/>
        </w:rPr>
        <w:t>Method F1</w:t>
      </w:r>
    </w:p>
    <w:p w:rsidR="000F6153" w:rsidRPr="0042498F" w:rsidRDefault="000F6153" w:rsidP="000F6153">
      <w:r w:rsidRPr="0042498F">
        <w:t>To facilitate coordination of submissions of new networks and ease access of administrations to the frequency bands of RR Appendix </w:t>
      </w:r>
      <w:r w:rsidRPr="0042498F">
        <w:rPr>
          <w:rStyle w:val="Appref"/>
          <w:b/>
          <w:bCs/>
        </w:rPr>
        <w:t>30B</w:t>
      </w:r>
      <w:r w:rsidRPr="0042498F">
        <w:t xml:space="preserve">, a possible method has been identified to update the coordination triggers to take into account technological advances and avoid some unnecessary coordination while assuring adequate protection of other satellite networks. </w:t>
      </w:r>
    </w:p>
    <w:p w:rsidR="000F6153" w:rsidRPr="0042498F" w:rsidRDefault="000F6153" w:rsidP="000F6153">
      <w:r w:rsidRPr="0042498F">
        <w:lastRenderedPageBreak/>
        <w:t>This method will be beneficial to all submissions for new networks, including those of newcomers and those of administrations seeking to convert their national allotments into assignments with changes. Specifically, the proposed changes include:</w:t>
      </w:r>
    </w:p>
    <w:p w:rsidR="000F6153" w:rsidRPr="0042498F" w:rsidRDefault="000F6153" w:rsidP="000F6153">
      <w:pPr>
        <w:pStyle w:val="enumlev1"/>
      </w:pPr>
      <w:r w:rsidRPr="0042498F">
        <w:t>–</w:t>
      </w:r>
      <w:r w:rsidRPr="0042498F">
        <w:tab/>
        <w:t>Adopting the structure decided by WRC-2000 for RR Appendices </w:t>
      </w:r>
      <w:r w:rsidRPr="0042498F">
        <w:rPr>
          <w:rStyle w:val="Appref"/>
          <w:b/>
          <w:bCs/>
        </w:rPr>
        <w:t>30</w:t>
      </w:r>
      <w:r w:rsidRPr="0042498F">
        <w:t xml:space="preserve"> and </w:t>
      </w:r>
      <w:r w:rsidRPr="0042498F">
        <w:rPr>
          <w:rStyle w:val="Appref"/>
          <w:b/>
          <w:bCs/>
        </w:rPr>
        <w:t>30A</w:t>
      </w:r>
      <w:r w:rsidRPr="0042498F">
        <w:t>, i.e. a reduced coordination arc and mechanisms to remove unnecessary coordination requirements inside the coordination arc.</w:t>
      </w:r>
    </w:p>
    <w:p w:rsidR="000F6153" w:rsidRPr="0042498F" w:rsidRDefault="000F6153" w:rsidP="000F6153">
      <w:pPr>
        <w:pStyle w:val="enumlev1"/>
      </w:pPr>
      <w:r w:rsidRPr="0042498F">
        <w:t>–</w:t>
      </w:r>
      <w:r w:rsidRPr="0042498F">
        <w:tab/>
        <w:t>Bringing the size of the coordination arc in line with that used for the unplanned frequency bands, i.e. 7° for C-band and 6° for Ku-band and consequently align the Annex 3 limits to newly established coordination arcs.</w:t>
      </w:r>
    </w:p>
    <w:p w:rsidR="000F6153" w:rsidRPr="0042498F" w:rsidRDefault="000F6153" w:rsidP="000F6153">
      <w:pPr>
        <w:pStyle w:val="enumlev1"/>
      </w:pPr>
      <w:r w:rsidRPr="0042498F">
        <w:t>–</w:t>
      </w:r>
      <w:r w:rsidRPr="0042498F">
        <w:tab/>
        <w:t xml:space="preserve">Introducing </w:t>
      </w:r>
      <w:proofErr w:type="spellStart"/>
      <w:r w:rsidRPr="0042498F">
        <w:t>pfd</w:t>
      </w:r>
      <w:proofErr w:type="spellEnd"/>
      <w:r w:rsidRPr="0042498F">
        <w:t xml:space="preserve"> masks and levels like in RR Appendices </w:t>
      </w:r>
      <w:r w:rsidRPr="0042498F">
        <w:rPr>
          <w:rStyle w:val="Appref"/>
          <w:b/>
          <w:bCs/>
        </w:rPr>
        <w:t>30</w:t>
      </w:r>
      <w:r w:rsidRPr="0042498F">
        <w:t xml:space="preserve"> and </w:t>
      </w:r>
      <w:r w:rsidRPr="0042498F">
        <w:rPr>
          <w:rStyle w:val="Appref"/>
          <w:b/>
          <w:bCs/>
        </w:rPr>
        <w:t>30A</w:t>
      </w:r>
      <w:r w:rsidRPr="0042498F">
        <w:t xml:space="preserve"> as well as in portions of the unplanned frequency bands to remove unnecessary coordination and prevent combinations of technical parameters leading to unrealistic links from hindering introduction of new networks. Proposed values for </w:t>
      </w:r>
      <w:proofErr w:type="spellStart"/>
      <w:r w:rsidRPr="0042498F">
        <w:t>pfd</w:t>
      </w:r>
      <w:proofErr w:type="spellEnd"/>
      <w:r w:rsidRPr="0042498F">
        <w:t xml:space="preserve"> masks and levels are those developed in preparation for WRC-15, based on a level of protection corresponding to Δ</w:t>
      </w:r>
      <w:r w:rsidRPr="0042498F">
        <w:rPr>
          <w:i/>
          <w:iCs/>
        </w:rPr>
        <w:t>T/T</w:t>
      </w:r>
      <w:r w:rsidRPr="0042498F">
        <w:t xml:space="preserve"> = 6% for C-band antennas with a diameter between 1.2 and 18 m and Ku-band antennas with a diameter between 45 cm and 11 m).</w:t>
      </w:r>
    </w:p>
    <w:p w:rsidR="000F6153" w:rsidRPr="000F6153" w:rsidRDefault="000F6153" w:rsidP="000F6153">
      <w:pPr>
        <w:pStyle w:val="Heading3"/>
        <w:rPr>
          <w:rFonts w:ascii="Times New Roman" w:hAnsi="Times New Roman" w:cs="Times New Roman"/>
          <w:color w:val="auto"/>
        </w:rPr>
      </w:pPr>
      <w:r>
        <w:rPr>
          <w:rFonts w:ascii="Times New Roman" w:hAnsi="Times New Roman" w:cs="Times New Roman"/>
          <w:color w:val="auto"/>
        </w:rPr>
        <w:t>Method F2</w:t>
      </w:r>
    </w:p>
    <w:p w:rsidR="000F6153" w:rsidRPr="0042498F" w:rsidRDefault="000F6153" w:rsidP="000F6153">
      <w:r w:rsidRPr="0042498F">
        <w:t xml:space="preserve">This method would be the same as Method F1 except that to allow new submissions of administrations to benefit from already agreed single entry C/I values, the provisions as contained in the current RR Appendix </w:t>
      </w:r>
      <w:r w:rsidRPr="0042498F">
        <w:rPr>
          <w:b/>
        </w:rPr>
        <w:t>30B</w:t>
      </w:r>
      <w:r w:rsidRPr="0042498F">
        <w:t xml:space="preserve"> to this effect would be retained.</w:t>
      </w:r>
    </w:p>
    <w:p w:rsidR="000F6153" w:rsidRPr="000F6153" w:rsidRDefault="000F6153" w:rsidP="000F6153">
      <w:pPr>
        <w:pStyle w:val="Heading3"/>
        <w:rPr>
          <w:rFonts w:ascii="Times New Roman" w:hAnsi="Times New Roman" w:cs="Times New Roman"/>
          <w:color w:val="auto"/>
        </w:rPr>
      </w:pPr>
      <w:r>
        <w:rPr>
          <w:rFonts w:ascii="Times New Roman" w:hAnsi="Times New Roman" w:cs="Times New Roman"/>
          <w:color w:val="auto"/>
        </w:rPr>
        <w:t>Method F3</w:t>
      </w:r>
    </w:p>
    <w:p w:rsidR="000F6153" w:rsidRPr="0042498F" w:rsidRDefault="000F6153" w:rsidP="000F6153">
      <w:pPr>
        <w:pStyle w:val="enumlev1"/>
        <w:tabs>
          <w:tab w:val="clear" w:pos="1134"/>
        </w:tabs>
        <w:ind w:left="0" w:firstLine="0"/>
      </w:pPr>
      <w:r w:rsidRPr="0042498F">
        <w:t xml:space="preserve">This method would be based on either Methods F1 or F2, but in addition, protection of the existing and operational additional systems recorded in the List prior to a specified </w:t>
      </w:r>
      <w:proofErr w:type="spellStart"/>
      <w:r w:rsidRPr="0042498F">
        <w:t>datewill</w:t>
      </w:r>
      <w:proofErr w:type="spellEnd"/>
      <w:r w:rsidRPr="0042498F">
        <w:t xml:space="preserve"> be provided by applying criteria specified in Annex </w:t>
      </w:r>
      <w:r w:rsidRPr="0042498F">
        <w:rPr>
          <w:b/>
        </w:rPr>
        <w:t>4</w:t>
      </w:r>
      <w:r w:rsidRPr="0042498F">
        <w:rPr>
          <w:b/>
          <w:bCs/>
        </w:rPr>
        <w:t xml:space="preserve">(Rev.WRC-07) </w:t>
      </w:r>
      <w:r w:rsidRPr="0042498F">
        <w:t xml:space="preserve">of Appendix </w:t>
      </w:r>
      <w:r w:rsidRPr="0042498F">
        <w:rPr>
          <w:b/>
        </w:rPr>
        <w:t>30B</w:t>
      </w:r>
      <w:r w:rsidRPr="0042498F">
        <w:t xml:space="preserve"> to the Radio Regulations. </w:t>
      </w:r>
    </w:p>
    <w:p w:rsidR="000F6153" w:rsidRPr="000F6153" w:rsidRDefault="000F6153" w:rsidP="000F6153">
      <w:pPr>
        <w:pStyle w:val="Heading3"/>
        <w:rPr>
          <w:rFonts w:ascii="Times New Roman" w:hAnsi="Times New Roman" w:cs="Times New Roman"/>
          <w:color w:val="auto"/>
        </w:rPr>
      </w:pPr>
      <w:r>
        <w:rPr>
          <w:rFonts w:ascii="Times New Roman" w:hAnsi="Times New Roman" w:cs="Times New Roman"/>
          <w:color w:val="auto"/>
        </w:rPr>
        <w:t>Method F4</w:t>
      </w:r>
    </w:p>
    <w:p w:rsidR="000F6153" w:rsidRPr="0042498F" w:rsidRDefault="000F6153" w:rsidP="000F6153">
      <w:pPr>
        <w:rPr>
          <w:lang w:eastAsia="ja-JP"/>
        </w:rPr>
      </w:pPr>
      <w:r w:rsidRPr="0042498F">
        <w:rPr>
          <w:lang w:eastAsia="ja-JP"/>
        </w:rPr>
        <w:t xml:space="preserve">This method proposes no changes to the Radio Regulations. </w:t>
      </w:r>
    </w:p>
    <w:p w:rsidR="000F6153" w:rsidRPr="0042498F" w:rsidRDefault="000F6153" w:rsidP="000F6153">
      <w:r w:rsidRPr="0042498F">
        <w:t>The principle of the RR Appendix </w:t>
      </w:r>
      <w:r w:rsidRPr="0042498F">
        <w:rPr>
          <w:b/>
          <w:bCs/>
        </w:rPr>
        <w:t>30B</w:t>
      </w:r>
      <w:r w:rsidRPr="0042498F">
        <w:t xml:space="preserve"> is to provide equitable access to the frequency bands. It is important to ensure protection of </w:t>
      </w:r>
      <w:r w:rsidRPr="0042498F">
        <w:rPr>
          <w:lang w:eastAsia="ja-JP"/>
        </w:rPr>
        <w:t>the assignments in the List and allotments in the Plan of R</w:t>
      </w:r>
      <w:r w:rsidRPr="0042498F">
        <w:t xml:space="preserve">R </w:t>
      </w:r>
      <w:r w:rsidRPr="0042498F">
        <w:rPr>
          <w:lang w:eastAsia="ja-JP"/>
        </w:rPr>
        <w:t>Appendix </w:t>
      </w:r>
      <w:r w:rsidRPr="0042498F">
        <w:rPr>
          <w:b/>
          <w:bCs/>
          <w:lang w:eastAsia="ja-JP"/>
        </w:rPr>
        <w:t>30B</w:t>
      </w:r>
      <w:r w:rsidRPr="0042498F">
        <w:rPr>
          <w:lang w:eastAsia="ja-JP"/>
        </w:rPr>
        <w:t xml:space="preserve">. </w:t>
      </w:r>
      <w:r w:rsidRPr="0042498F">
        <w:t xml:space="preserve">However, facilitation to enter new assignments into the </w:t>
      </w:r>
      <w:r w:rsidRPr="0042498F">
        <w:rPr>
          <w:lang w:eastAsia="ja-JP"/>
        </w:rPr>
        <w:t>R</w:t>
      </w:r>
      <w:r w:rsidRPr="0042498F">
        <w:t>R Appendix </w:t>
      </w:r>
      <w:r w:rsidRPr="0042498F">
        <w:rPr>
          <w:b/>
          <w:bCs/>
        </w:rPr>
        <w:t>30B</w:t>
      </w:r>
      <w:r w:rsidRPr="0042498F">
        <w:t xml:space="preserve"> List through revising the current protection criteria may reduce the protection of </w:t>
      </w:r>
      <w:r w:rsidRPr="0042498F">
        <w:rPr>
          <w:lang w:eastAsia="ja-JP"/>
        </w:rPr>
        <w:t>assignments in the List and allotments in the Plan of R</w:t>
      </w:r>
      <w:r w:rsidRPr="0042498F">
        <w:t xml:space="preserve">R </w:t>
      </w:r>
      <w:r w:rsidRPr="0042498F">
        <w:rPr>
          <w:lang w:eastAsia="ja-JP"/>
        </w:rPr>
        <w:t>Appendix </w:t>
      </w:r>
      <w:r w:rsidRPr="0042498F">
        <w:rPr>
          <w:b/>
          <w:bCs/>
          <w:lang w:eastAsia="ja-JP"/>
        </w:rPr>
        <w:t>30B</w:t>
      </w:r>
      <w:r w:rsidRPr="0042498F">
        <w:rPr>
          <w:lang w:eastAsia="ja-JP"/>
        </w:rPr>
        <w:t>.</w:t>
      </w:r>
    </w:p>
    <w:p w:rsidR="000F6153" w:rsidRPr="00441526" w:rsidRDefault="000F6153" w:rsidP="00131607">
      <w:pPr>
        <w:jc w:val="both"/>
        <w:rPr>
          <w:lang w:val="en-NZ"/>
        </w:rPr>
      </w:pPr>
    </w:p>
    <w:p w:rsidR="00131607" w:rsidRPr="00441526" w:rsidRDefault="00131607" w:rsidP="00131607">
      <w:pPr>
        <w:spacing w:after="120"/>
        <w:jc w:val="both"/>
        <w:rPr>
          <w:b/>
          <w:lang w:val="en-NZ" w:eastAsia="ko-KR"/>
        </w:rPr>
      </w:pPr>
      <w:r w:rsidRPr="00441526">
        <w:rPr>
          <w:b/>
          <w:lang w:val="en-NZ" w:eastAsia="ko-KR"/>
        </w:rPr>
        <w:t xml:space="preserve">2. </w:t>
      </w:r>
      <w:r w:rsidRPr="00441526">
        <w:rPr>
          <w:b/>
          <w:lang w:val="en-NZ" w:eastAsia="ko-KR"/>
        </w:rPr>
        <w:tab/>
        <w:t>Documents</w:t>
      </w:r>
    </w:p>
    <w:p w:rsidR="00D365AF" w:rsidRPr="00D365AF" w:rsidRDefault="00D365AF" w:rsidP="00D365AF">
      <w:pPr>
        <w:numPr>
          <w:ilvl w:val="0"/>
          <w:numId w:val="18"/>
        </w:numPr>
        <w:ind w:leftChars="145" w:left="708"/>
        <w:jc w:val="both"/>
        <w:rPr>
          <w:lang w:val="en-NZ"/>
        </w:rPr>
      </w:pPr>
      <w:r w:rsidRPr="00D365AF">
        <w:rPr>
          <w:lang w:val="en-NZ"/>
        </w:rPr>
        <w:t>Input Documents APG19-5/</w:t>
      </w:r>
      <w:r w:rsidRPr="00D365AF">
        <w:t>INP-44</w:t>
      </w:r>
      <w:r w:rsidR="00A32E8C">
        <w:t>R1</w:t>
      </w:r>
      <w:r w:rsidRPr="00D365AF">
        <w:t xml:space="preserve"> (AUS), INP-51 (INS), INP-58 (SNG), INP-67 (CHN), INP-81(J), INP-100 (THA), INP-119 (VTN), INP-129 (KOR).</w:t>
      </w:r>
    </w:p>
    <w:p w:rsidR="00D365AF" w:rsidRPr="00D365AF" w:rsidRDefault="00D365AF" w:rsidP="00D365AF">
      <w:pPr>
        <w:numPr>
          <w:ilvl w:val="0"/>
          <w:numId w:val="18"/>
        </w:numPr>
        <w:ind w:leftChars="145" w:left="708"/>
        <w:jc w:val="both"/>
        <w:rPr>
          <w:lang w:val="en-NZ"/>
        </w:rPr>
      </w:pPr>
      <w:r w:rsidRPr="00D365AF">
        <w:rPr>
          <w:lang w:val="en-NZ"/>
        </w:rPr>
        <w:t xml:space="preserve">Information Documents </w:t>
      </w:r>
      <w:r w:rsidR="00731AD6" w:rsidRPr="00D365AF">
        <w:rPr>
          <w:lang w:val="en-NZ"/>
        </w:rPr>
        <w:t>APG19-5/INF-</w:t>
      </w:r>
      <w:r w:rsidR="00731AD6">
        <w:rPr>
          <w:lang w:val="en-NZ"/>
        </w:rPr>
        <w:t>01 (WMO), INF-18(CEPT), INF-19(ATU), INF-20(CITEL), INF-22(RCC).</w:t>
      </w:r>
    </w:p>
    <w:p w:rsidR="00131607" w:rsidRDefault="00131607" w:rsidP="00131607">
      <w:pPr>
        <w:rPr>
          <w:b/>
          <w:lang w:val="en-NZ" w:eastAsia="ko-KR"/>
        </w:rPr>
      </w:pPr>
    </w:p>
    <w:p w:rsidR="00131607" w:rsidRPr="00441526" w:rsidRDefault="00131607" w:rsidP="00131607">
      <w:pPr>
        <w:rPr>
          <w:b/>
          <w:lang w:val="en-NZ" w:eastAsia="ko-KR"/>
        </w:rPr>
      </w:pPr>
      <w:r w:rsidRPr="00441526">
        <w:rPr>
          <w:b/>
          <w:lang w:val="en-NZ" w:eastAsia="ko-KR"/>
        </w:rPr>
        <w:t xml:space="preserve">3. </w:t>
      </w:r>
      <w:r w:rsidRPr="00441526">
        <w:rPr>
          <w:b/>
          <w:lang w:val="en-NZ" w:eastAsia="ko-KR"/>
        </w:rPr>
        <w:tab/>
        <w:t>Summary of discussions</w:t>
      </w:r>
    </w:p>
    <w:p w:rsidR="00131607" w:rsidRPr="00441526" w:rsidRDefault="00131607" w:rsidP="00131607">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rsidR="00131607" w:rsidRPr="00441526" w:rsidRDefault="00646270" w:rsidP="003571B4">
      <w:pPr>
        <w:spacing w:after="120"/>
        <w:jc w:val="both"/>
        <w:rPr>
          <w:b/>
          <w:lang w:val="en-NZ" w:eastAsia="ko-KR"/>
        </w:rPr>
      </w:pPr>
      <w:r w:rsidRPr="00441526">
        <w:rPr>
          <w:b/>
          <w:lang w:val="en-NZ" w:eastAsia="ko-KR"/>
        </w:rPr>
        <w:t xml:space="preserve">3.1.1 </w:t>
      </w:r>
      <w:r w:rsidRPr="00441526">
        <w:rPr>
          <w:b/>
          <w:lang w:val="en-NZ" w:eastAsia="ko-KR"/>
        </w:rPr>
        <w:tab/>
      </w:r>
      <w:r>
        <w:rPr>
          <w:b/>
          <w:lang w:val="en-NZ" w:eastAsia="ko-KR"/>
        </w:rPr>
        <w:t>Australia</w:t>
      </w:r>
      <w:r w:rsidRPr="00441526">
        <w:rPr>
          <w:b/>
          <w:lang w:val="en-NZ" w:eastAsia="ko-KR"/>
        </w:rPr>
        <w:t xml:space="preserve"> </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44</w:t>
      </w:r>
      <w:r w:rsidR="00A32E8C">
        <w:rPr>
          <w:b/>
          <w:lang w:val="en-NZ" w:eastAsia="ko-KR"/>
        </w:rPr>
        <w:t xml:space="preserve"> Rev.1</w:t>
      </w:r>
    </w:p>
    <w:p w:rsidR="00131607" w:rsidRDefault="00646270" w:rsidP="003571B4">
      <w:pPr>
        <w:spacing w:after="120"/>
        <w:jc w:val="both"/>
      </w:pPr>
      <w:r>
        <w:t>Australia can support either Method F1, F2 or F3 as it is of the view that these would help to alleviate the difficulties faced by administrations in attempting to enter assignments into the Appendix 30B List and to facilitate coordination of networks.</w:t>
      </w:r>
    </w:p>
    <w:p w:rsidR="001E40D8" w:rsidRPr="00441526" w:rsidRDefault="001E40D8" w:rsidP="003571B4">
      <w:pPr>
        <w:spacing w:after="120"/>
        <w:jc w:val="both"/>
        <w:rPr>
          <w:lang w:val="en-NZ"/>
        </w:rPr>
      </w:pPr>
    </w:p>
    <w:p w:rsidR="00131607" w:rsidRDefault="00BD1C4B" w:rsidP="003571B4">
      <w:pPr>
        <w:spacing w:after="120"/>
        <w:jc w:val="both"/>
        <w:rPr>
          <w:b/>
          <w:lang w:val="en-NZ" w:eastAsia="ko-KR"/>
        </w:rPr>
      </w:pPr>
      <w:r w:rsidRPr="000D092E">
        <w:rPr>
          <w:b/>
          <w:lang w:val="en-NZ" w:eastAsia="ko-KR"/>
        </w:rPr>
        <w:lastRenderedPageBreak/>
        <w:t>3.1.</w:t>
      </w:r>
      <w:r w:rsidR="005B1675">
        <w:rPr>
          <w:b/>
          <w:lang w:val="en-NZ" w:eastAsia="ko-KR"/>
        </w:rPr>
        <w:t>2</w:t>
      </w:r>
      <w:r w:rsidRPr="000D092E">
        <w:rPr>
          <w:b/>
          <w:lang w:val="en-NZ" w:eastAsia="ko-KR"/>
        </w:rPr>
        <w:t xml:space="preserve"> </w:t>
      </w:r>
      <w:r w:rsidRPr="000D092E">
        <w:rPr>
          <w:b/>
          <w:lang w:val="en-NZ" w:eastAsia="ko-KR"/>
        </w:rPr>
        <w:tab/>
        <w:t xml:space="preserve">Indonesia </w:t>
      </w:r>
      <w:r w:rsidRPr="000D092E">
        <w:rPr>
          <w:lang w:val="en-NZ" w:eastAsia="ko-KR"/>
        </w:rPr>
        <w:t>-</w:t>
      </w:r>
      <w:r w:rsidRPr="000D092E">
        <w:rPr>
          <w:b/>
          <w:lang w:val="en-NZ" w:eastAsia="ko-KR"/>
        </w:rPr>
        <w:t xml:space="preserve"> Document APG19-5/INP-51</w:t>
      </w:r>
    </w:p>
    <w:p w:rsidR="00BD1C4B" w:rsidRDefault="00BD1C4B" w:rsidP="003571B4">
      <w:pPr>
        <w:spacing w:after="120"/>
        <w:jc w:val="both"/>
        <w:rPr>
          <w:szCs w:val="28"/>
          <w:lang w:eastAsia="ko-KR"/>
        </w:rPr>
      </w:pPr>
      <w:r w:rsidRPr="00B17EF7">
        <w:t xml:space="preserve">Indonesia </w:t>
      </w:r>
      <w:r>
        <w:t xml:space="preserve">is of the view to </w:t>
      </w:r>
      <w:r w:rsidRPr="0028468B">
        <w:rPr>
          <w:szCs w:val="28"/>
          <w:lang w:eastAsia="ko-KR"/>
        </w:rPr>
        <w:t xml:space="preserve">support </w:t>
      </w:r>
      <w:r>
        <w:rPr>
          <w:szCs w:val="28"/>
          <w:lang w:eastAsia="ko-KR"/>
        </w:rPr>
        <w:t>method F1 in CPM Report which propose the following:</w:t>
      </w:r>
    </w:p>
    <w:p w:rsidR="00BD1C4B" w:rsidRPr="00E2546F" w:rsidRDefault="00BD1C4B" w:rsidP="003571B4">
      <w:pPr>
        <w:pStyle w:val="ListParagraph"/>
        <w:numPr>
          <w:ilvl w:val="0"/>
          <w:numId w:val="24"/>
        </w:numPr>
        <w:spacing w:after="120"/>
        <w:contextualSpacing/>
        <w:jc w:val="both"/>
        <w:rPr>
          <w:szCs w:val="28"/>
          <w:lang w:eastAsia="ko-KR"/>
        </w:rPr>
      </w:pPr>
      <w:r w:rsidRPr="00E2546F">
        <w:rPr>
          <w:szCs w:val="28"/>
          <w:lang w:eastAsia="ko-KR"/>
        </w:rPr>
        <w:t>Adopting the structure decided by WRC-2000 for RR Appendices 30 and 30A, i.e. a reduced coordination arc and mechanisms to remove unnecessary coordination requirements inside the coordination arc.</w:t>
      </w:r>
    </w:p>
    <w:p w:rsidR="00BD1C4B" w:rsidRPr="00E2546F" w:rsidRDefault="00BD1C4B" w:rsidP="003571B4">
      <w:pPr>
        <w:pStyle w:val="ListParagraph"/>
        <w:numPr>
          <w:ilvl w:val="0"/>
          <w:numId w:val="24"/>
        </w:numPr>
        <w:spacing w:after="120"/>
        <w:contextualSpacing/>
        <w:jc w:val="both"/>
        <w:rPr>
          <w:szCs w:val="28"/>
          <w:lang w:eastAsia="ko-KR"/>
        </w:rPr>
      </w:pPr>
      <w:r w:rsidRPr="00E2546F">
        <w:rPr>
          <w:szCs w:val="28"/>
          <w:lang w:eastAsia="ko-KR"/>
        </w:rPr>
        <w:t>Bringing the size of the coordination arc in line with that used for the unplanned frequency bands, i.e. 7° for C-band and 6° for Ku-band and consequently align the Annex 3 limits to newly established coordination arcs.</w:t>
      </w:r>
    </w:p>
    <w:p w:rsidR="00BD1C4B" w:rsidRPr="00441526" w:rsidRDefault="00BD1C4B" w:rsidP="003571B4">
      <w:pPr>
        <w:spacing w:after="120"/>
        <w:jc w:val="both"/>
        <w:rPr>
          <w:lang w:val="en-NZ"/>
        </w:rPr>
      </w:pPr>
      <w:r w:rsidRPr="00E2546F">
        <w:rPr>
          <w:szCs w:val="28"/>
          <w:lang w:eastAsia="ko-KR"/>
        </w:rPr>
        <w:t xml:space="preserve">Introducing </w:t>
      </w:r>
      <w:proofErr w:type="spellStart"/>
      <w:r w:rsidRPr="00E2546F">
        <w:rPr>
          <w:szCs w:val="28"/>
          <w:lang w:eastAsia="ko-KR"/>
        </w:rPr>
        <w:t>pfd</w:t>
      </w:r>
      <w:proofErr w:type="spellEnd"/>
      <w:r w:rsidRPr="00E2546F">
        <w:rPr>
          <w:szCs w:val="28"/>
          <w:lang w:eastAsia="ko-KR"/>
        </w:rPr>
        <w:t xml:space="preserve"> masks and levels like in RR Appendices 30 and 30A as well as in portions of the unplanned frequency bands to remove unnecessary coordination and prevent combinations of technical parameters leading to unrealistic links from hindering introduction of new networks. Proposed values for </w:t>
      </w:r>
      <w:proofErr w:type="spellStart"/>
      <w:r w:rsidRPr="00E2546F">
        <w:rPr>
          <w:szCs w:val="28"/>
          <w:lang w:eastAsia="ko-KR"/>
        </w:rPr>
        <w:t>pfd</w:t>
      </w:r>
      <w:proofErr w:type="spellEnd"/>
      <w:r w:rsidRPr="00E2546F">
        <w:rPr>
          <w:szCs w:val="28"/>
          <w:lang w:eastAsia="ko-KR"/>
        </w:rPr>
        <w:t xml:space="preserve"> masks and levels are those developed in preparation for WRC-15, based on a level of protection corresponding to ΔT/T = 6% for C-band antennas with a diameter between 1.2 and 18 m and Ku-band antennas with a diameter between 45 cm and 11 m).</w:t>
      </w:r>
    </w:p>
    <w:p w:rsidR="00DB63F1" w:rsidRDefault="00DB63F1" w:rsidP="003571B4">
      <w:pPr>
        <w:spacing w:after="120"/>
        <w:jc w:val="both"/>
        <w:rPr>
          <w:b/>
          <w:lang w:val="en-NZ" w:eastAsia="ko-KR"/>
        </w:rPr>
      </w:pPr>
      <w:r w:rsidRPr="00441526">
        <w:rPr>
          <w:b/>
          <w:lang w:val="en-NZ" w:eastAsia="ko-KR"/>
        </w:rPr>
        <w:t>3.1.</w:t>
      </w:r>
      <w:r>
        <w:rPr>
          <w:b/>
          <w:lang w:val="en-NZ" w:eastAsia="ko-KR"/>
        </w:rPr>
        <w:t>3</w:t>
      </w:r>
      <w:r w:rsidRPr="00441526">
        <w:rPr>
          <w:b/>
          <w:lang w:val="en-NZ" w:eastAsia="ko-KR"/>
        </w:rPr>
        <w:t xml:space="preserve"> </w:t>
      </w:r>
      <w:r w:rsidRPr="00441526">
        <w:rPr>
          <w:b/>
          <w:lang w:val="en-NZ" w:eastAsia="ko-KR"/>
        </w:rPr>
        <w:tab/>
      </w:r>
      <w:r>
        <w:rPr>
          <w:b/>
          <w:lang w:val="en-NZ" w:eastAsia="ko-KR"/>
        </w:rPr>
        <w:t xml:space="preserve">Singapore </w:t>
      </w:r>
      <w:r w:rsidRPr="00BD1C4B">
        <w:rPr>
          <w:lang w:val="en-NZ" w:eastAsia="ko-KR"/>
        </w:rPr>
        <w:t>-</w:t>
      </w:r>
      <w:r>
        <w:rPr>
          <w:b/>
          <w:lang w:val="en-NZ" w:eastAsia="ko-KR"/>
        </w:rPr>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58</w:t>
      </w:r>
    </w:p>
    <w:p w:rsidR="00DB63F1" w:rsidRDefault="00DB63F1" w:rsidP="003571B4">
      <w:pPr>
        <w:spacing w:after="120"/>
        <w:jc w:val="both"/>
        <w:rPr>
          <w:lang w:eastAsia="ko-KR"/>
        </w:rPr>
      </w:pPr>
      <w:r>
        <w:rPr>
          <w:lang w:eastAsia="ko-KR"/>
        </w:rPr>
        <w:t xml:space="preserve">Singapore supports </w:t>
      </w:r>
      <w:r w:rsidRPr="00BD13A5">
        <w:rPr>
          <w:lang w:eastAsia="ko-KR"/>
        </w:rPr>
        <w:t>Method</w:t>
      </w:r>
      <w:r>
        <w:rPr>
          <w:lang w:eastAsia="ko-KR"/>
        </w:rPr>
        <w:t xml:space="preserve"> F1</w:t>
      </w:r>
      <w:r w:rsidRPr="00BD13A5">
        <w:rPr>
          <w:lang w:eastAsia="ko-KR"/>
        </w:rPr>
        <w:t xml:space="preserve"> as it help</w:t>
      </w:r>
      <w:r>
        <w:rPr>
          <w:lang w:eastAsia="ko-KR"/>
        </w:rPr>
        <w:t xml:space="preserve">s to </w:t>
      </w:r>
      <w:r w:rsidRPr="00BD13A5">
        <w:rPr>
          <w:lang w:eastAsia="ko-KR"/>
        </w:rPr>
        <w:t xml:space="preserve">facilitate coordination of networks for newcomers by alleviating difficulties due to the conservative criteria used in RR Appendix </w:t>
      </w:r>
      <w:r w:rsidRPr="00BD13A5">
        <w:rPr>
          <w:b/>
          <w:bCs/>
          <w:lang w:val="en-GB" w:eastAsia="ko-KR"/>
        </w:rPr>
        <w:t>30B</w:t>
      </w:r>
      <w:r>
        <w:rPr>
          <w:b/>
          <w:bCs/>
          <w:lang w:val="en-GB" w:eastAsia="ko-KR"/>
        </w:rPr>
        <w:t xml:space="preserve"> </w:t>
      </w:r>
      <w:r w:rsidRPr="00BD13A5">
        <w:rPr>
          <w:lang w:eastAsia="ko-KR"/>
        </w:rPr>
        <w:t>and from networks with unrealistic characteristics which are highly sensitive to interference from later submissions.</w:t>
      </w:r>
    </w:p>
    <w:p w:rsidR="00131607" w:rsidRDefault="008C6C3E" w:rsidP="003571B4">
      <w:pPr>
        <w:spacing w:after="120"/>
        <w:rPr>
          <w:b/>
          <w:lang w:val="en-NZ" w:eastAsia="ko-KR"/>
        </w:rPr>
      </w:pPr>
      <w:r w:rsidRPr="00441526">
        <w:rPr>
          <w:b/>
          <w:lang w:val="en-NZ" w:eastAsia="ko-KR"/>
        </w:rPr>
        <w:t>3.1.</w:t>
      </w:r>
      <w:r w:rsidR="00DB63F1">
        <w:rPr>
          <w:b/>
          <w:lang w:val="en-NZ" w:eastAsia="ko-KR"/>
        </w:rPr>
        <w:t>4</w:t>
      </w:r>
      <w:r w:rsidRPr="00441526">
        <w:rPr>
          <w:b/>
          <w:lang w:val="en-NZ" w:eastAsia="ko-KR"/>
        </w:rPr>
        <w:t xml:space="preserve"> </w:t>
      </w:r>
      <w:r w:rsidRPr="00441526">
        <w:rPr>
          <w:b/>
          <w:lang w:val="en-NZ" w:eastAsia="ko-KR"/>
        </w:rPr>
        <w:tab/>
      </w:r>
      <w:r>
        <w:rPr>
          <w:b/>
          <w:lang w:val="en-NZ" w:eastAsia="ko-KR"/>
        </w:rPr>
        <w:t xml:space="preserve">China </w:t>
      </w:r>
      <w:r w:rsidRPr="00BD1C4B">
        <w:rPr>
          <w:lang w:val="en-NZ" w:eastAsia="ko-KR"/>
        </w:rPr>
        <w:t>-</w:t>
      </w:r>
      <w:r>
        <w:rPr>
          <w:b/>
          <w:lang w:val="en-NZ" w:eastAsia="ko-KR"/>
        </w:rPr>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67</w:t>
      </w:r>
    </w:p>
    <w:p w:rsidR="008C6C3E" w:rsidRDefault="008C6C3E" w:rsidP="003571B4">
      <w:pPr>
        <w:spacing w:after="120"/>
        <w:rPr>
          <w:lang w:eastAsia="zh-CN"/>
        </w:rPr>
      </w:pPr>
      <w:r>
        <w:rPr>
          <w:lang w:eastAsia="zh-CN"/>
        </w:rPr>
        <w:t>In order to help to alleviate the difficulties faced by administrations in attempting to enter assignments into the Appendix 30B List and to facilitate coordination of networks while protecting the Appendix 30B Plan and List, China supports Method F2 as outlined in CPM report.</w:t>
      </w:r>
    </w:p>
    <w:p w:rsidR="008C6C3E" w:rsidRDefault="005B1675" w:rsidP="003571B4">
      <w:pPr>
        <w:spacing w:after="120"/>
        <w:rPr>
          <w:lang w:eastAsia="zh-CN"/>
        </w:rPr>
      </w:pPr>
      <w:r w:rsidRPr="00441526">
        <w:rPr>
          <w:b/>
          <w:lang w:val="en-NZ" w:eastAsia="ko-KR"/>
        </w:rPr>
        <w:t>3.1.</w:t>
      </w:r>
      <w:r w:rsidR="00DB63F1">
        <w:rPr>
          <w:b/>
          <w:lang w:val="en-NZ" w:eastAsia="ko-KR"/>
        </w:rPr>
        <w:t>5</w:t>
      </w:r>
      <w:r w:rsidRPr="00441526">
        <w:rPr>
          <w:b/>
          <w:lang w:val="en-NZ" w:eastAsia="ko-KR"/>
        </w:rPr>
        <w:t xml:space="preserve"> </w:t>
      </w:r>
      <w:r w:rsidRPr="00441526">
        <w:rPr>
          <w:b/>
          <w:lang w:val="en-NZ" w:eastAsia="ko-KR"/>
        </w:rPr>
        <w:tab/>
      </w:r>
      <w:r>
        <w:rPr>
          <w:b/>
          <w:lang w:val="en-NZ" w:eastAsia="ko-KR"/>
        </w:rPr>
        <w:t xml:space="preserve">Japan </w:t>
      </w:r>
      <w:r w:rsidRPr="00BD1C4B">
        <w:rPr>
          <w:lang w:val="en-NZ" w:eastAsia="ko-KR"/>
        </w:rPr>
        <w:t>-</w:t>
      </w:r>
      <w:r>
        <w:rPr>
          <w:b/>
          <w:lang w:val="en-NZ" w:eastAsia="ko-KR"/>
        </w:rPr>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81</w:t>
      </w:r>
    </w:p>
    <w:p w:rsidR="008C6C3E" w:rsidRDefault="005B1675" w:rsidP="003571B4">
      <w:pPr>
        <w:spacing w:after="120"/>
        <w:rPr>
          <w:lang w:val="en-NZ"/>
        </w:rPr>
      </w:pPr>
      <w:r>
        <w:rPr>
          <w:rFonts w:eastAsia="MS Mincho"/>
          <w:lang w:eastAsia="ja-JP"/>
        </w:rPr>
        <w:t>Japan is of the view that it is not necessary to revise the Radio Regulation, because the study has shown that existing single entry is effective for new satellite networks. Therefore, Japan supports Method F4</w:t>
      </w:r>
      <w:r w:rsidR="00AE2FFA">
        <w:rPr>
          <w:rFonts w:eastAsia="MS Mincho"/>
          <w:lang w:eastAsia="ja-JP"/>
        </w:rPr>
        <w:t xml:space="preserve"> </w:t>
      </w:r>
      <w:r>
        <w:rPr>
          <w:rFonts w:eastAsia="MS Mincho"/>
          <w:lang w:eastAsia="ja-JP"/>
        </w:rPr>
        <w:t>(NOC).</w:t>
      </w:r>
    </w:p>
    <w:p w:rsidR="00DE63DE" w:rsidRDefault="00DE63DE" w:rsidP="003571B4">
      <w:pPr>
        <w:spacing w:after="120"/>
        <w:rPr>
          <w:lang w:eastAsia="zh-CN"/>
        </w:rPr>
      </w:pPr>
      <w:r w:rsidRPr="00441526">
        <w:rPr>
          <w:b/>
          <w:lang w:val="en-NZ" w:eastAsia="ko-KR"/>
        </w:rPr>
        <w:t>3.1.</w:t>
      </w:r>
      <w:r w:rsidR="00DB63F1">
        <w:rPr>
          <w:b/>
          <w:lang w:val="en-NZ" w:eastAsia="ko-KR"/>
        </w:rPr>
        <w:t>6</w:t>
      </w:r>
      <w:r w:rsidRPr="00441526">
        <w:rPr>
          <w:b/>
          <w:lang w:val="en-NZ" w:eastAsia="ko-KR"/>
        </w:rPr>
        <w:t xml:space="preserve"> </w:t>
      </w:r>
      <w:r w:rsidRPr="00441526">
        <w:rPr>
          <w:b/>
          <w:lang w:val="en-NZ" w:eastAsia="ko-KR"/>
        </w:rPr>
        <w:tab/>
      </w:r>
      <w:r>
        <w:rPr>
          <w:b/>
          <w:lang w:val="en-NZ" w:eastAsia="ko-KR"/>
        </w:rPr>
        <w:t xml:space="preserve">Thailand </w:t>
      </w:r>
      <w:r w:rsidRPr="00BD1C4B">
        <w:rPr>
          <w:lang w:val="en-NZ" w:eastAsia="ko-KR"/>
        </w:rPr>
        <w:t>-</w:t>
      </w:r>
      <w:r>
        <w:rPr>
          <w:b/>
          <w:lang w:val="en-NZ" w:eastAsia="ko-KR"/>
        </w:rPr>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100</w:t>
      </w:r>
    </w:p>
    <w:p w:rsidR="00DE63DE" w:rsidRDefault="00DE63DE" w:rsidP="003571B4">
      <w:pPr>
        <w:spacing w:after="120"/>
        <w:rPr>
          <w:lang w:val="en-NZ"/>
        </w:rPr>
      </w:pPr>
      <w:r w:rsidRPr="00E46EEC">
        <w:rPr>
          <w:lang w:eastAsia="zh-CN"/>
        </w:rPr>
        <w:t xml:space="preserve">Thailand is of the opinion that the simplification of the regulatory procedure to the using the frequency bands of RR </w:t>
      </w:r>
      <w:r w:rsidRPr="00E46EEC">
        <w:t>Appendix </w:t>
      </w:r>
      <w:r w:rsidRPr="00E46EEC">
        <w:rPr>
          <w:rStyle w:val="Appref"/>
        </w:rPr>
        <w:t>30B</w:t>
      </w:r>
      <w:r w:rsidRPr="00E46EEC">
        <w:rPr>
          <w:lang w:eastAsia="zh-CN"/>
        </w:rPr>
        <w:t xml:space="preserve"> is needed. By means of this, Thailand supports the updating and restructuring the coordination trigger used in Appendix 30B</w:t>
      </w:r>
      <w:r w:rsidRPr="00E46EEC">
        <w:t xml:space="preserve"> to take into account technological advances and avoid some unnecessary coordination while assuring adequate protection of other satellite networks</w:t>
      </w:r>
      <w:r w:rsidRPr="00E46EEC">
        <w:rPr>
          <w:lang w:eastAsia="zh-CN"/>
        </w:rPr>
        <w:t xml:space="preserve">.  Therefore, Thailand </w:t>
      </w:r>
      <w:r w:rsidRPr="00EB5A54">
        <w:rPr>
          <w:rFonts w:cs="Angsana New"/>
          <w:szCs w:val="30"/>
          <w:lang w:eastAsia="zh-CN" w:bidi="th-TH"/>
        </w:rPr>
        <w:t>does not support</w:t>
      </w:r>
      <w:r>
        <w:rPr>
          <w:rFonts w:cs="Angsana New"/>
          <w:szCs w:val="30"/>
          <w:lang w:eastAsia="zh-CN" w:bidi="th-TH"/>
        </w:rPr>
        <w:t xml:space="preserve"> </w:t>
      </w:r>
      <w:r w:rsidRPr="00E46EEC">
        <w:rPr>
          <w:rFonts w:cs="Angsana New"/>
          <w:szCs w:val="30"/>
          <w:lang w:eastAsia="zh-CN" w:bidi="th-TH"/>
        </w:rPr>
        <w:t>Method F4 of the CPM Report.</w:t>
      </w:r>
    </w:p>
    <w:p w:rsidR="00867507" w:rsidRDefault="00867507" w:rsidP="003571B4">
      <w:pPr>
        <w:spacing w:after="120"/>
        <w:jc w:val="both"/>
        <w:rPr>
          <w:b/>
          <w:lang w:val="en-NZ" w:eastAsia="ko-KR"/>
        </w:rPr>
      </w:pPr>
      <w:r w:rsidRPr="00441526">
        <w:rPr>
          <w:b/>
          <w:lang w:val="en-NZ" w:eastAsia="ko-KR"/>
        </w:rPr>
        <w:t>3.1.</w:t>
      </w:r>
      <w:r w:rsidR="00DB63F1">
        <w:rPr>
          <w:b/>
          <w:lang w:val="en-NZ" w:eastAsia="ko-KR"/>
        </w:rPr>
        <w:t>7</w:t>
      </w:r>
      <w:r w:rsidRPr="00441526">
        <w:rPr>
          <w:b/>
          <w:lang w:val="en-NZ" w:eastAsia="ko-KR"/>
        </w:rPr>
        <w:t xml:space="preserve"> </w:t>
      </w:r>
      <w:r w:rsidRPr="00441526">
        <w:rPr>
          <w:b/>
          <w:lang w:val="en-NZ" w:eastAsia="ko-KR"/>
        </w:rPr>
        <w:tab/>
      </w:r>
      <w:r>
        <w:rPr>
          <w:b/>
          <w:lang w:val="en-NZ" w:eastAsia="ko-KR"/>
        </w:rPr>
        <w:t xml:space="preserve">Viet Nam </w:t>
      </w:r>
      <w:r w:rsidRPr="00BD1C4B">
        <w:rPr>
          <w:lang w:val="en-NZ" w:eastAsia="ko-KR"/>
        </w:rPr>
        <w:t>-</w:t>
      </w:r>
      <w:r>
        <w:rPr>
          <w:b/>
          <w:lang w:val="en-NZ" w:eastAsia="ko-KR"/>
        </w:rPr>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119</w:t>
      </w:r>
    </w:p>
    <w:p w:rsidR="00DE63DE" w:rsidRDefault="00867507" w:rsidP="003571B4">
      <w:pPr>
        <w:spacing w:after="120"/>
      </w:pPr>
      <w:r w:rsidRPr="00FC0378">
        <w:t xml:space="preserve">Viet Nam supports </w:t>
      </w:r>
      <w:r w:rsidRPr="00FC0378">
        <w:rPr>
          <w:lang w:eastAsia="ja-JP"/>
        </w:rPr>
        <w:t>no changes to the Radio Regulations</w:t>
      </w:r>
      <w:r w:rsidRPr="00FC0378">
        <w:t xml:space="preserve"> which is method F4 as desc</w:t>
      </w:r>
      <w:r w:rsidR="00230BFB">
        <w:t>r</w:t>
      </w:r>
      <w:r w:rsidRPr="00FC0378">
        <w:t>ibed in section 3/7/6.4 of CPM report.</w:t>
      </w:r>
    </w:p>
    <w:p w:rsidR="00D369E5" w:rsidRDefault="00D369E5" w:rsidP="003571B4">
      <w:pPr>
        <w:spacing w:after="120"/>
        <w:jc w:val="both"/>
        <w:rPr>
          <w:b/>
          <w:lang w:val="en-NZ" w:eastAsia="ko-KR"/>
        </w:rPr>
      </w:pPr>
      <w:r w:rsidRPr="00441526">
        <w:rPr>
          <w:b/>
          <w:lang w:val="en-NZ" w:eastAsia="ko-KR"/>
        </w:rPr>
        <w:t>3.1.</w:t>
      </w:r>
      <w:r>
        <w:rPr>
          <w:b/>
          <w:lang w:val="en-NZ" w:eastAsia="ko-KR"/>
        </w:rPr>
        <w:t>8</w:t>
      </w:r>
      <w:r w:rsidRPr="00441526">
        <w:rPr>
          <w:b/>
          <w:lang w:val="en-NZ" w:eastAsia="ko-KR"/>
        </w:rPr>
        <w:t xml:space="preserve"> </w:t>
      </w:r>
      <w:r w:rsidRPr="00441526">
        <w:rPr>
          <w:b/>
          <w:lang w:val="en-NZ" w:eastAsia="ko-KR"/>
        </w:rPr>
        <w:tab/>
      </w:r>
      <w:r>
        <w:rPr>
          <w:b/>
          <w:lang w:val="en-NZ" w:eastAsia="ko-KR"/>
        </w:rPr>
        <w:t xml:space="preserve">Korea </w:t>
      </w:r>
      <w:r w:rsidRPr="00BD1C4B">
        <w:rPr>
          <w:lang w:val="en-NZ" w:eastAsia="ko-KR"/>
        </w:rPr>
        <w:t>-</w:t>
      </w:r>
      <w:r>
        <w:rPr>
          <w:b/>
          <w:lang w:val="en-NZ" w:eastAsia="ko-KR"/>
        </w:rPr>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129</w:t>
      </w:r>
    </w:p>
    <w:p w:rsidR="00D369E5" w:rsidRDefault="00D369E5" w:rsidP="003571B4">
      <w:pPr>
        <w:spacing w:after="120"/>
        <w:ind w:leftChars="-1" w:left="-2"/>
        <w:jc w:val="both"/>
        <w:rPr>
          <w:rStyle w:val="Appref"/>
          <w:bCs/>
        </w:rPr>
      </w:pPr>
      <w:r>
        <w:rPr>
          <w:lang w:val="en-GB" w:eastAsia="ko-KR"/>
        </w:rPr>
        <w:t xml:space="preserve">The Republic of Korea supports the Method F3 in the CPM Report </w:t>
      </w:r>
      <w:r>
        <w:t>t</w:t>
      </w:r>
      <w:r w:rsidRPr="0042498F">
        <w:t>o facilitate coordination of submissions of new networks and ease access of administrations to the frequency bands of RR Appendix </w:t>
      </w:r>
      <w:r w:rsidRPr="0042498F">
        <w:rPr>
          <w:rStyle w:val="Appref"/>
          <w:b/>
          <w:bCs/>
        </w:rPr>
        <w:t>30B</w:t>
      </w:r>
      <w:r>
        <w:rPr>
          <w:rStyle w:val="Appref"/>
          <w:bCs/>
        </w:rPr>
        <w:t>.</w:t>
      </w:r>
    </w:p>
    <w:p w:rsidR="001E40D8" w:rsidRPr="00D715E9" w:rsidRDefault="001E40D8" w:rsidP="003571B4">
      <w:pPr>
        <w:spacing w:after="120"/>
        <w:ind w:leftChars="-1" w:left="-2"/>
        <w:jc w:val="both"/>
        <w:rPr>
          <w:lang w:val="en-GB" w:eastAsia="ko-KR"/>
        </w:rPr>
      </w:pPr>
    </w:p>
    <w:p w:rsidR="00DE63DE" w:rsidRPr="00441526" w:rsidRDefault="00DE63DE" w:rsidP="00131607">
      <w:pPr>
        <w:rPr>
          <w:lang w:val="en-NZ"/>
        </w:rPr>
      </w:pPr>
    </w:p>
    <w:p w:rsidR="00131607" w:rsidRPr="00441526" w:rsidRDefault="00131607" w:rsidP="00131607">
      <w:pPr>
        <w:spacing w:after="120"/>
        <w:jc w:val="both"/>
        <w:rPr>
          <w:b/>
          <w:lang w:val="en-NZ"/>
        </w:rPr>
      </w:pPr>
      <w:r w:rsidRPr="00441526">
        <w:rPr>
          <w:b/>
          <w:lang w:val="en-NZ"/>
        </w:rPr>
        <w:lastRenderedPageBreak/>
        <w:t xml:space="preserve">3.2 </w:t>
      </w:r>
      <w:r w:rsidRPr="00441526">
        <w:rPr>
          <w:b/>
          <w:lang w:val="en-NZ"/>
        </w:rPr>
        <w:tab/>
        <w:t>S</w:t>
      </w:r>
      <w:r w:rsidRPr="00441526">
        <w:rPr>
          <w:b/>
          <w:lang w:val="en-NZ" w:eastAsia="ko-KR"/>
        </w:rPr>
        <w:t>ummary of issues raised du</w:t>
      </w:r>
      <w:r w:rsidRPr="00441526">
        <w:rPr>
          <w:b/>
          <w:lang w:val="en-NZ"/>
        </w:rPr>
        <w:t>ring the meeting</w:t>
      </w:r>
    </w:p>
    <w:p w:rsidR="00131607" w:rsidRPr="00EE6D69" w:rsidRDefault="00EE6D69" w:rsidP="00131607">
      <w:pPr>
        <w:rPr>
          <w:lang w:val="en-NZ" w:eastAsia="ko-KR"/>
        </w:rPr>
      </w:pPr>
      <w:r w:rsidRPr="00EE6D69">
        <w:rPr>
          <w:lang w:val="en-NZ" w:eastAsia="ko-KR"/>
        </w:rPr>
        <w:t>- None.</w:t>
      </w:r>
    </w:p>
    <w:p w:rsidR="00EE6D69" w:rsidRDefault="00EE6D69" w:rsidP="00131607">
      <w:pPr>
        <w:rPr>
          <w:b/>
          <w:lang w:val="en-NZ" w:eastAsia="ko-KR"/>
        </w:rPr>
      </w:pPr>
    </w:p>
    <w:p w:rsidR="00131607" w:rsidRPr="00CD38CE" w:rsidRDefault="00131607" w:rsidP="00131607">
      <w:pPr>
        <w:spacing w:after="120"/>
        <w:jc w:val="both"/>
        <w:rPr>
          <w:b/>
          <w:lang w:val="en-NZ" w:eastAsia="ko-KR"/>
        </w:rPr>
      </w:pPr>
      <w:r w:rsidRPr="00CD38CE">
        <w:rPr>
          <w:b/>
          <w:lang w:val="en-NZ" w:eastAsia="ko-KR"/>
        </w:rPr>
        <w:t xml:space="preserve">4. </w:t>
      </w:r>
      <w:r w:rsidRPr="00CD38CE">
        <w:rPr>
          <w:b/>
          <w:lang w:val="en-NZ" w:eastAsia="ko-KR"/>
        </w:rPr>
        <w:tab/>
        <w:t>APT View(s)</w:t>
      </w:r>
    </w:p>
    <w:p w:rsidR="00131607" w:rsidRPr="00CD38CE" w:rsidRDefault="000F6153" w:rsidP="00131607">
      <w:pPr>
        <w:rPr>
          <w:szCs w:val="28"/>
        </w:rPr>
      </w:pPr>
      <w:r w:rsidRPr="00CD38CE">
        <w:t xml:space="preserve">APT </w:t>
      </w:r>
      <w:r w:rsidR="00774B65">
        <w:t>M</w:t>
      </w:r>
      <w:r w:rsidRPr="00CD38CE">
        <w:t xml:space="preserve">embers support to further study the </w:t>
      </w:r>
      <w:r w:rsidRPr="00CD38CE">
        <w:rPr>
          <w:szCs w:val="28"/>
        </w:rPr>
        <w:t xml:space="preserve">measures to facilitate entering new assignments into the RR </w:t>
      </w:r>
      <w:r w:rsidRPr="00CD38CE">
        <w:rPr>
          <w:szCs w:val="28"/>
          <w:lang w:eastAsia="ko-KR"/>
        </w:rPr>
        <w:t>Appendix</w:t>
      </w:r>
      <w:r w:rsidRPr="00CD38CE">
        <w:rPr>
          <w:szCs w:val="28"/>
        </w:rPr>
        <w:t xml:space="preserve"> 30B List.</w:t>
      </w:r>
    </w:p>
    <w:p w:rsidR="000F6153" w:rsidRDefault="00774B65" w:rsidP="00131607">
      <w:pPr>
        <w:rPr>
          <w:lang w:val="en-NZ"/>
        </w:rPr>
      </w:pPr>
      <w:r>
        <w:rPr>
          <w:lang w:val="en-NZ"/>
        </w:rPr>
        <w:t>APT M</w:t>
      </w:r>
      <w:r w:rsidR="00EE6D69" w:rsidRPr="00CD38CE">
        <w:rPr>
          <w:lang w:val="en-NZ"/>
        </w:rPr>
        <w:t>embers decided not to develop PACP on issue F.</w:t>
      </w:r>
    </w:p>
    <w:p w:rsidR="00EE6D69" w:rsidRPr="00441526" w:rsidRDefault="00EE6D69" w:rsidP="00131607">
      <w:pPr>
        <w:rPr>
          <w:lang w:val="en-NZ"/>
        </w:rPr>
      </w:pPr>
    </w:p>
    <w:p w:rsidR="00131607" w:rsidRDefault="00131607" w:rsidP="00131607">
      <w:pPr>
        <w:spacing w:after="120"/>
        <w:jc w:val="both"/>
        <w:rPr>
          <w:b/>
          <w:lang w:val="en-NZ" w:eastAsia="ko-KR"/>
        </w:rPr>
      </w:pPr>
      <w:r w:rsidRPr="00441526">
        <w:rPr>
          <w:b/>
          <w:lang w:val="en-NZ" w:eastAsia="ko-KR"/>
        </w:rPr>
        <w:t xml:space="preserve">5. </w:t>
      </w:r>
      <w:r w:rsidRPr="00441526">
        <w:rPr>
          <w:b/>
          <w:lang w:val="en-NZ" w:eastAsia="ko-KR"/>
        </w:rPr>
        <w:tab/>
      </w:r>
      <w:r>
        <w:rPr>
          <w:b/>
          <w:lang w:val="en-NZ" w:eastAsia="ko-KR"/>
        </w:rPr>
        <w:t>Preliminary APT Common Proposal(s)</w:t>
      </w:r>
      <w:bookmarkStart w:id="2" w:name="_GoBack"/>
      <w:bookmarkEnd w:id="2"/>
    </w:p>
    <w:p w:rsidR="00EE6D69" w:rsidRPr="00AE2FFA" w:rsidRDefault="00AE2FFA" w:rsidP="00131607">
      <w:pPr>
        <w:spacing w:after="120"/>
        <w:jc w:val="both"/>
        <w:rPr>
          <w:lang w:val="en-NZ" w:eastAsia="ko-KR"/>
        </w:rPr>
      </w:pPr>
      <w:r w:rsidRPr="00AE2FFA">
        <w:rPr>
          <w:lang w:val="en-NZ" w:eastAsia="ko-KR"/>
        </w:rPr>
        <w:t>- None.</w:t>
      </w:r>
    </w:p>
    <w:p w:rsidR="00AE2FFA" w:rsidRPr="00441526" w:rsidRDefault="00AE2FFA" w:rsidP="00131607">
      <w:pPr>
        <w:spacing w:after="120"/>
        <w:jc w:val="both"/>
        <w:rPr>
          <w:b/>
          <w:lang w:val="en-NZ" w:eastAsia="ko-KR"/>
        </w:rPr>
      </w:pPr>
    </w:p>
    <w:p w:rsidR="002405F7" w:rsidRDefault="002405F7">
      <w:pPr>
        <w:rPr>
          <w:b/>
          <w:highlight w:val="yellow"/>
          <w:lang w:val="en-NZ"/>
        </w:rPr>
      </w:pPr>
    </w:p>
    <w:sectPr w:rsidR="002405F7" w:rsidSect="00C516C7">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5D9" w:rsidRDefault="007255D9">
      <w:r>
        <w:separator/>
      </w:r>
    </w:p>
  </w:endnote>
  <w:endnote w:type="continuationSeparator" w:id="0">
    <w:p w:rsidR="007255D9" w:rsidRDefault="0072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Che">
    <w:altName w:val="Arial Unicode MS"/>
    <w:panose1 w:val="02030609000101010101"/>
    <w:charset w:val="81"/>
    <w:family w:val="modern"/>
    <w:pitch w:val="fixed"/>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altName w:val="굴림체"/>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5C" w:rsidRDefault="00D44B5F" w:rsidP="002C07DA">
    <w:pPr>
      <w:pStyle w:val="Footer"/>
      <w:framePr w:wrap="around" w:vAnchor="text" w:hAnchor="margin" w:xAlign="right" w:y="1"/>
      <w:rPr>
        <w:rStyle w:val="PageNumber"/>
      </w:rPr>
    </w:pPr>
    <w:r>
      <w:rPr>
        <w:rStyle w:val="PageNumber"/>
      </w:rPr>
      <w:fldChar w:fldCharType="begin"/>
    </w:r>
    <w:r w:rsidR="0089045C">
      <w:rPr>
        <w:rStyle w:val="PageNumber"/>
      </w:rPr>
      <w:instrText xml:space="preserve">PAGE  </w:instrText>
    </w:r>
    <w:r>
      <w:rPr>
        <w:rStyle w:val="PageNumber"/>
      </w:rPr>
      <w:fldChar w:fldCharType="end"/>
    </w:r>
  </w:p>
  <w:p w:rsidR="0089045C" w:rsidRDefault="0089045C"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BF" w:rsidRDefault="0089045C" w:rsidP="0092727B">
    <w:pPr>
      <w:pStyle w:val="Footer"/>
      <w:tabs>
        <w:tab w:val="clear" w:pos="4320"/>
        <w:tab w:val="clear" w:pos="8640"/>
        <w:tab w:val="right" w:pos="9180"/>
      </w:tabs>
      <w:ind w:right="-7"/>
      <w:rPr>
        <w:lang w:eastAsia="ko-KR"/>
      </w:rPr>
    </w:pPr>
    <w:r>
      <w:rPr>
        <w:rFonts w:hint="eastAsia"/>
        <w:lang w:eastAsia="ko-KR"/>
      </w:rPr>
      <w:t>A</w:t>
    </w:r>
    <w:r w:rsidR="00C77CEB">
      <w:rPr>
        <w:lang w:eastAsia="ko-KR"/>
      </w:rPr>
      <w:t>PG19-5/OUT-12</w:t>
    </w:r>
  </w:p>
  <w:p w:rsidR="0089045C" w:rsidRDefault="0089045C" w:rsidP="0092727B">
    <w:pPr>
      <w:pStyle w:val="Footer"/>
      <w:tabs>
        <w:tab w:val="clear" w:pos="4320"/>
        <w:tab w:val="clear" w:pos="8640"/>
        <w:tab w:val="right" w:pos="9180"/>
      </w:tabs>
      <w:ind w:right="-7"/>
    </w:pPr>
    <w:r>
      <w:rPr>
        <w:rStyle w:val="PageNumber"/>
      </w:rPr>
      <w:tab/>
    </w:r>
    <w:r w:rsidRPr="002C7EA9">
      <w:rPr>
        <w:rStyle w:val="PageNumber"/>
      </w:rPr>
      <w:t xml:space="preserve">Page </w:t>
    </w:r>
    <w:r w:rsidR="00D44B5F" w:rsidRPr="002C7EA9">
      <w:rPr>
        <w:rStyle w:val="PageNumber"/>
      </w:rPr>
      <w:fldChar w:fldCharType="begin"/>
    </w:r>
    <w:r w:rsidRPr="002C7EA9">
      <w:rPr>
        <w:rStyle w:val="PageNumber"/>
      </w:rPr>
      <w:instrText xml:space="preserve"> PAGE </w:instrText>
    </w:r>
    <w:r w:rsidR="00D44B5F" w:rsidRPr="002C7EA9">
      <w:rPr>
        <w:rStyle w:val="PageNumber"/>
      </w:rPr>
      <w:fldChar w:fldCharType="separate"/>
    </w:r>
    <w:r w:rsidR="00774B65">
      <w:rPr>
        <w:rStyle w:val="PageNumber"/>
        <w:noProof/>
      </w:rPr>
      <w:t>4</w:t>
    </w:r>
    <w:r w:rsidR="00D44B5F" w:rsidRPr="002C7EA9">
      <w:rPr>
        <w:rStyle w:val="PageNumber"/>
      </w:rPr>
      <w:fldChar w:fldCharType="end"/>
    </w:r>
    <w:r w:rsidRPr="002C7EA9">
      <w:rPr>
        <w:rStyle w:val="PageNumber"/>
      </w:rPr>
      <w:t xml:space="preserve"> of </w:t>
    </w:r>
    <w:r w:rsidR="00D44B5F" w:rsidRPr="002C7EA9">
      <w:rPr>
        <w:rStyle w:val="PageNumber"/>
      </w:rPr>
      <w:fldChar w:fldCharType="begin"/>
    </w:r>
    <w:r w:rsidRPr="002C7EA9">
      <w:rPr>
        <w:rStyle w:val="PageNumber"/>
      </w:rPr>
      <w:instrText xml:space="preserve"> NUMPAGES </w:instrText>
    </w:r>
    <w:r w:rsidR="00D44B5F" w:rsidRPr="002C7EA9">
      <w:rPr>
        <w:rStyle w:val="PageNumber"/>
      </w:rPr>
      <w:fldChar w:fldCharType="separate"/>
    </w:r>
    <w:r w:rsidR="00774B65">
      <w:rPr>
        <w:rStyle w:val="PageNumber"/>
        <w:noProof/>
      </w:rPr>
      <w:t>4</w:t>
    </w:r>
    <w:r w:rsidR="00D44B5F"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3099"/>
      <w:gridCol w:w="4965"/>
    </w:tblGrid>
    <w:tr w:rsidR="0089045C" w:rsidTr="00C77CEB">
      <w:trPr>
        <w:trHeight w:val="432"/>
      </w:trPr>
      <w:tc>
        <w:tcPr>
          <w:tcW w:w="1296" w:type="dxa"/>
          <w:tcBorders>
            <w:top w:val="single" w:sz="8" w:space="0" w:color="auto"/>
            <w:bottom w:val="nil"/>
            <w:right w:val="nil"/>
          </w:tcBorders>
        </w:tcPr>
        <w:p w:rsidR="0089045C" w:rsidRDefault="0089045C" w:rsidP="0092727B">
          <w:pPr>
            <w:pStyle w:val="Footer"/>
            <w:tabs>
              <w:tab w:val="clear" w:pos="4320"/>
              <w:tab w:val="clear" w:pos="8640"/>
            </w:tabs>
            <w:rPr>
              <w:sz w:val="16"/>
              <w:szCs w:val="16"/>
            </w:rPr>
          </w:pPr>
          <w:r>
            <w:rPr>
              <w:b/>
              <w:bCs/>
            </w:rPr>
            <w:t>Contact:</w:t>
          </w:r>
        </w:p>
      </w:tc>
      <w:tc>
        <w:tcPr>
          <w:tcW w:w="3099" w:type="dxa"/>
          <w:tcBorders>
            <w:top w:val="single" w:sz="8" w:space="0" w:color="auto"/>
            <w:left w:val="nil"/>
            <w:bottom w:val="nil"/>
            <w:right w:val="nil"/>
          </w:tcBorders>
        </w:tcPr>
        <w:p w:rsidR="0089045C" w:rsidRDefault="00C77CEB" w:rsidP="0092727B">
          <w:pPr>
            <w:pStyle w:val="Footer"/>
            <w:tabs>
              <w:tab w:val="clear" w:pos="4320"/>
              <w:tab w:val="clear" w:pos="8640"/>
            </w:tabs>
          </w:pPr>
          <w:r>
            <w:t>Muneo Abe</w:t>
          </w:r>
        </w:p>
        <w:p w:rsidR="0089045C" w:rsidRPr="002A0111" w:rsidRDefault="00C77CEB" w:rsidP="0092727B">
          <w:pPr>
            <w:pStyle w:val="Footer"/>
            <w:tabs>
              <w:tab w:val="clear" w:pos="4320"/>
              <w:tab w:val="clear" w:pos="8640"/>
            </w:tabs>
          </w:pPr>
          <w:r>
            <w:t xml:space="preserve">Chairman, WP </w:t>
          </w:r>
        </w:p>
      </w:tc>
      <w:tc>
        <w:tcPr>
          <w:tcW w:w="4965" w:type="dxa"/>
          <w:tcBorders>
            <w:top w:val="single" w:sz="8" w:space="0" w:color="auto"/>
            <w:left w:val="nil"/>
            <w:bottom w:val="nil"/>
          </w:tcBorders>
        </w:tcPr>
        <w:p w:rsidR="0089045C" w:rsidRPr="0092727B" w:rsidRDefault="0089045C" w:rsidP="0092727B">
          <w:pPr>
            <w:pStyle w:val="Footer"/>
            <w:tabs>
              <w:tab w:val="clear" w:pos="4320"/>
              <w:tab w:val="clear" w:pos="8640"/>
            </w:tabs>
          </w:pPr>
          <w:r>
            <w:t>E-mail:</w:t>
          </w:r>
          <w:r w:rsidR="00C77CEB">
            <w:t xml:space="preserve"> Abe.Muneo@cj.MitsubishiElectric.co.jp</w:t>
          </w:r>
        </w:p>
      </w:tc>
    </w:tr>
  </w:tbl>
  <w:p w:rsidR="0089045C" w:rsidRDefault="0089045C"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5D9" w:rsidRDefault="007255D9">
      <w:r>
        <w:separator/>
      </w:r>
    </w:p>
  </w:footnote>
  <w:footnote w:type="continuationSeparator" w:id="0">
    <w:p w:rsidR="007255D9" w:rsidRDefault="00725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5C" w:rsidRDefault="0089045C" w:rsidP="0092727B">
    <w:pPr>
      <w:pStyle w:val="Header"/>
      <w:tabs>
        <w:tab w:val="clear" w:pos="4320"/>
        <w:tab w:val="clear" w:pos="8640"/>
      </w:tabs>
      <w:rPr>
        <w:lang w:eastAsia="ko-KR"/>
      </w:rPr>
    </w:pPr>
  </w:p>
  <w:p w:rsidR="0089045C" w:rsidRDefault="0089045C"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5C" w:rsidRDefault="0089045C"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5FD0"/>
    <w:multiLevelType w:val="hybridMultilevel"/>
    <w:tmpl w:val="158A8C6A"/>
    <w:lvl w:ilvl="0" w:tplc="7B2A6C4E">
      <w:start w:val="21"/>
      <w:numFmt w:val="bullet"/>
      <w:lvlText w:val="−"/>
      <w:lvlJc w:val="left"/>
      <w:pPr>
        <w:ind w:left="720" w:hanging="360"/>
      </w:pPr>
      <w:rPr>
        <w:rFonts w:ascii="Times New Roman" w:eastAsia="Times New Roman" w:hAnsi="Times New Roman" w:cs="Times New Roman" w:hint="default"/>
      </w:rPr>
    </w:lvl>
    <w:lvl w:ilvl="1" w:tplc="32400D54">
      <w:start w:val="1"/>
      <w:numFmt w:val="bullet"/>
      <w:lvlText w:val="–"/>
      <w:lvlJc w:val="left"/>
      <w:pPr>
        <w:ind w:left="1800" w:hanging="720"/>
      </w:pPr>
      <w:rPr>
        <w:rFonts w:ascii="Times New Roman" w:eastAsia="BatangChe" w:hAnsi="Times New Roman" w:cs="Times New Roman" w:hint="default"/>
        <w:i w:val="0"/>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195248C"/>
    <w:multiLevelType w:val="hybridMultilevel"/>
    <w:tmpl w:val="C95A3C38"/>
    <w:lvl w:ilvl="0" w:tplc="C22E0B14">
      <w:start w:val="1"/>
      <w:numFmt w:val="bullet"/>
      <w:lvlText w:val="–"/>
      <w:lvlJc w:val="left"/>
      <w:pPr>
        <w:ind w:left="80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7B2A6C4E">
      <w:start w:val="21"/>
      <w:numFmt w:val="bullet"/>
      <w:lvlText w:val="−"/>
      <w:lvlJc w:val="left"/>
      <w:pPr>
        <w:ind w:left="1600" w:hanging="400"/>
      </w:pPr>
      <w:rPr>
        <w:rFonts w:ascii="Times New Roman" w:eastAsia="Times New Roman"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D87056D"/>
    <w:multiLevelType w:val="hybridMultilevel"/>
    <w:tmpl w:val="BA803446"/>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0"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2"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2"/>
  </w:num>
  <w:num w:numId="2">
    <w:abstractNumId w:val="8"/>
  </w:num>
  <w:num w:numId="3">
    <w:abstractNumId w:val="7"/>
  </w:num>
  <w:num w:numId="4">
    <w:abstractNumId w:val="18"/>
  </w:num>
  <w:num w:numId="5">
    <w:abstractNumId w:val="11"/>
  </w:num>
  <w:num w:numId="6">
    <w:abstractNumId w:val="13"/>
  </w:num>
  <w:num w:numId="7">
    <w:abstractNumId w:val="5"/>
  </w:num>
  <w:num w:numId="8">
    <w:abstractNumId w:val="2"/>
  </w:num>
  <w:num w:numId="9">
    <w:abstractNumId w:val="21"/>
  </w:num>
  <w:num w:numId="10">
    <w:abstractNumId w:val="17"/>
  </w:num>
  <w:num w:numId="11">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2"/>
  </w:num>
  <w:num w:numId="17">
    <w:abstractNumId w:val="16"/>
  </w:num>
  <w:num w:numId="18">
    <w:abstractNumId w:val="14"/>
  </w:num>
  <w:num w:numId="19">
    <w:abstractNumId w:val="20"/>
  </w:num>
  <w:num w:numId="20">
    <w:abstractNumId w:val="10"/>
  </w:num>
  <w:num w:numId="21">
    <w:abstractNumId w:val="19"/>
  </w:num>
  <w:num w:numId="22">
    <w:abstractNumId w:val="23"/>
  </w:num>
  <w:num w:numId="23">
    <w:abstractNumId w:val="4"/>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0E11"/>
    <w:rsid w:val="00010C8E"/>
    <w:rsid w:val="00017FB8"/>
    <w:rsid w:val="0003595B"/>
    <w:rsid w:val="00036517"/>
    <w:rsid w:val="00036CC9"/>
    <w:rsid w:val="00040149"/>
    <w:rsid w:val="0004180F"/>
    <w:rsid w:val="00053246"/>
    <w:rsid w:val="00061EAB"/>
    <w:rsid w:val="00070642"/>
    <w:rsid w:val="000713CF"/>
    <w:rsid w:val="00075C14"/>
    <w:rsid w:val="000822B5"/>
    <w:rsid w:val="00094B87"/>
    <w:rsid w:val="000A012B"/>
    <w:rsid w:val="000A40B6"/>
    <w:rsid w:val="000A5418"/>
    <w:rsid w:val="000D47FB"/>
    <w:rsid w:val="000E3CEF"/>
    <w:rsid w:val="000E43DC"/>
    <w:rsid w:val="000F345F"/>
    <w:rsid w:val="000F517C"/>
    <w:rsid w:val="000F5540"/>
    <w:rsid w:val="000F6153"/>
    <w:rsid w:val="000F7D6C"/>
    <w:rsid w:val="00105F1A"/>
    <w:rsid w:val="00125FBD"/>
    <w:rsid w:val="00127064"/>
    <w:rsid w:val="00131607"/>
    <w:rsid w:val="001409B2"/>
    <w:rsid w:val="00152636"/>
    <w:rsid w:val="001539DD"/>
    <w:rsid w:val="00155BD9"/>
    <w:rsid w:val="00156782"/>
    <w:rsid w:val="00164620"/>
    <w:rsid w:val="00165846"/>
    <w:rsid w:val="00165F01"/>
    <w:rsid w:val="001731F4"/>
    <w:rsid w:val="001916F2"/>
    <w:rsid w:val="001930A7"/>
    <w:rsid w:val="00196568"/>
    <w:rsid w:val="00197C18"/>
    <w:rsid w:val="001A2F16"/>
    <w:rsid w:val="001A717C"/>
    <w:rsid w:val="001B1804"/>
    <w:rsid w:val="001B18C2"/>
    <w:rsid w:val="001C443F"/>
    <w:rsid w:val="001C61A5"/>
    <w:rsid w:val="001C6707"/>
    <w:rsid w:val="001D5D7E"/>
    <w:rsid w:val="001E40D8"/>
    <w:rsid w:val="001F5947"/>
    <w:rsid w:val="00202410"/>
    <w:rsid w:val="002038F9"/>
    <w:rsid w:val="00214A0C"/>
    <w:rsid w:val="0021588B"/>
    <w:rsid w:val="002161B6"/>
    <w:rsid w:val="002216AC"/>
    <w:rsid w:val="00230BE5"/>
    <w:rsid w:val="00230BFB"/>
    <w:rsid w:val="0023212E"/>
    <w:rsid w:val="0023280A"/>
    <w:rsid w:val="002405F7"/>
    <w:rsid w:val="002475E2"/>
    <w:rsid w:val="002506D2"/>
    <w:rsid w:val="00250DE2"/>
    <w:rsid w:val="00254A1B"/>
    <w:rsid w:val="00257800"/>
    <w:rsid w:val="0026064A"/>
    <w:rsid w:val="00264566"/>
    <w:rsid w:val="0028454D"/>
    <w:rsid w:val="00291C9E"/>
    <w:rsid w:val="002921F1"/>
    <w:rsid w:val="002926D4"/>
    <w:rsid w:val="0029734E"/>
    <w:rsid w:val="002A0111"/>
    <w:rsid w:val="002A3CF5"/>
    <w:rsid w:val="002A5306"/>
    <w:rsid w:val="002B06A3"/>
    <w:rsid w:val="002B435C"/>
    <w:rsid w:val="002B447F"/>
    <w:rsid w:val="002C07DA"/>
    <w:rsid w:val="002C2A49"/>
    <w:rsid w:val="002C7EA9"/>
    <w:rsid w:val="002F575D"/>
    <w:rsid w:val="003113D7"/>
    <w:rsid w:val="00311E8A"/>
    <w:rsid w:val="003135E3"/>
    <w:rsid w:val="00320C59"/>
    <w:rsid w:val="003408CB"/>
    <w:rsid w:val="00342F20"/>
    <w:rsid w:val="003571B4"/>
    <w:rsid w:val="00360377"/>
    <w:rsid w:val="00366548"/>
    <w:rsid w:val="0038005B"/>
    <w:rsid w:val="003809C7"/>
    <w:rsid w:val="0038236C"/>
    <w:rsid w:val="00393DCD"/>
    <w:rsid w:val="00395B40"/>
    <w:rsid w:val="003A2006"/>
    <w:rsid w:val="003A5173"/>
    <w:rsid w:val="003A6568"/>
    <w:rsid w:val="003B4FD1"/>
    <w:rsid w:val="003B6263"/>
    <w:rsid w:val="003C29E6"/>
    <w:rsid w:val="003C64A7"/>
    <w:rsid w:val="003D1128"/>
    <w:rsid w:val="003D1671"/>
    <w:rsid w:val="003D3D47"/>
    <w:rsid w:val="003D3FDA"/>
    <w:rsid w:val="003D6D00"/>
    <w:rsid w:val="003E166F"/>
    <w:rsid w:val="003F307E"/>
    <w:rsid w:val="004001E5"/>
    <w:rsid w:val="0041313C"/>
    <w:rsid w:val="00420822"/>
    <w:rsid w:val="00420C74"/>
    <w:rsid w:val="00433E38"/>
    <w:rsid w:val="00441526"/>
    <w:rsid w:val="004465AA"/>
    <w:rsid w:val="00446A5E"/>
    <w:rsid w:val="0045458F"/>
    <w:rsid w:val="004579BE"/>
    <w:rsid w:val="00462132"/>
    <w:rsid w:val="004633B4"/>
    <w:rsid w:val="004946DD"/>
    <w:rsid w:val="00495CED"/>
    <w:rsid w:val="004A0455"/>
    <w:rsid w:val="004A29EE"/>
    <w:rsid w:val="004A2F96"/>
    <w:rsid w:val="004A4BDF"/>
    <w:rsid w:val="004B3553"/>
    <w:rsid w:val="004B3F4B"/>
    <w:rsid w:val="004B4437"/>
    <w:rsid w:val="004C23A3"/>
    <w:rsid w:val="004E1FCA"/>
    <w:rsid w:val="004E47D6"/>
    <w:rsid w:val="004F477A"/>
    <w:rsid w:val="00503189"/>
    <w:rsid w:val="00504750"/>
    <w:rsid w:val="00516BD1"/>
    <w:rsid w:val="00517316"/>
    <w:rsid w:val="005206E9"/>
    <w:rsid w:val="00521315"/>
    <w:rsid w:val="0052356A"/>
    <w:rsid w:val="00526D01"/>
    <w:rsid w:val="00530E8C"/>
    <w:rsid w:val="00532E47"/>
    <w:rsid w:val="00533A6A"/>
    <w:rsid w:val="00535D34"/>
    <w:rsid w:val="00545933"/>
    <w:rsid w:val="00552105"/>
    <w:rsid w:val="005562F2"/>
    <w:rsid w:val="00557544"/>
    <w:rsid w:val="005615F0"/>
    <w:rsid w:val="00565BBB"/>
    <w:rsid w:val="005811B6"/>
    <w:rsid w:val="00585F3C"/>
    <w:rsid w:val="00586CA0"/>
    <w:rsid w:val="00587875"/>
    <w:rsid w:val="005A55E9"/>
    <w:rsid w:val="005A63EB"/>
    <w:rsid w:val="005B0876"/>
    <w:rsid w:val="005B1675"/>
    <w:rsid w:val="005C33B6"/>
    <w:rsid w:val="005D4B2C"/>
    <w:rsid w:val="005D6202"/>
    <w:rsid w:val="005D624D"/>
    <w:rsid w:val="005D6E98"/>
    <w:rsid w:val="005E44BD"/>
    <w:rsid w:val="00607E2B"/>
    <w:rsid w:val="006139D6"/>
    <w:rsid w:val="00616D1B"/>
    <w:rsid w:val="00623CE1"/>
    <w:rsid w:val="00627880"/>
    <w:rsid w:val="0063062B"/>
    <w:rsid w:val="00634A82"/>
    <w:rsid w:val="00637351"/>
    <w:rsid w:val="00643548"/>
    <w:rsid w:val="00646166"/>
    <w:rsid w:val="00646270"/>
    <w:rsid w:val="00654896"/>
    <w:rsid w:val="006621F0"/>
    <w:rsid w:val="006647BA"/>
    <w:rsid w:val="00667229"/>
    <w:rsid w:val="006732FA"/>
    <w:rsid w:val="006800C2"/>
    <w:rsid w:val="00682BE5"/>
    <w:rsid w:val="00683846"/>
    <w:rsid w:val="00690FED"/>
    <w:rsid w:val="006939A5"/>
    <w:rsid w:val="006B0B87"/>
    <w:rsid w:val="006B45D4"/>
    <w:rsid w:val="006D0354"/>
    <w:rsid w:val="006D5223"/>
    <w:rsid w:val="006D5970"/>
    <w:rsid w:val="006E12FC"/>
    <w:rsid w:val="006F0F24"/>
    <w:rsid w:val="006F2B2E"/>
    <w:rsid w:val="006F6A5C"/>
    <w:rsid w:val="00703F6F"/>
    <w:rsid w:val="007052B3"/>
    <w:rsid w:val="00705962"/>
    <w:rsid w:val="00707C21"/>
    <w:rsid w:val="00712451"/>
    <w:rsid w:val="0071286A"/>
    <w:rsid w:val="00717DE9"/>
    <w:rsid w:val="00724659"/>
    <w:rsid w:val="0072518B"/>
    <w:rsid w:val="007255D9"/>
    <w:rsid w:val="00731041"/>
    <w:rsid w:val="00731AD6"/>
    <w:rsid w:val="007329E4"/>
    <w:rsid w:val="00732F08"/>
    <w:rsid w:val="007342F0"/>
    <w:rsid w:val="0074190C"/>
    <w:rsid w:val="00742079"/>
    <w:rsid w:val="00745DE4"/>
    <w:rsid w:val="0075493D"/>
    <w:rsid w:val="00762576"/>
    <w:rsid w:val="007673CA"/>
    <w:rsid w:val="007736E1"/>
    <w:rsid w:val="00774B65"/>
    <w:rsid w:val="00791060"/>
    <w:rsid w:val="007926EA"/>
    <w:rsid w:val="007B5626"/>
    <w:rsid w:val="007B6124"/>
    <w:rsid w:val="007D3C53"/>
    <w:rsid w:val="007D448C"/>
    <w:rsid w:val="007E3A0F"/>
    <w:rsid w:val="007F2628"/>
    <w:rsid w:val="007F2FBA"/>
    <w:rsid w:val="007F32F9"/>
    <w:rsid w:val="007F7D12"/>
    <w:rsid w:val="00800C3A"/>
    <w:rsid w:val="0080570B"/>
    <w:rsid w:val="008148E1"/>
    <w:rsid w:val="008319BF"/>
    <w:rsid w:val="008322BF"/>
    <w:rsid w:val="0083342A"/>
    <w:rsid w:val="00840347"/>
    <w:rsid w:val="008415F0"/>
    <w:rsid w:val="008433C2"/>
    <w:rsid w:val="00844457"/>
    <w:rsid w:val="008454C8"/>
    <w:rsid w:val="00851D78"/>
    <w:rsid w:val="008577A1"/>
    <w:rsid w:val="00867507"/>
    <w:rsid w:val="00876040"/>
    <w:rsid w:val="0089045C"/>
    <w:rsid w:val="008A016F"/>
    <w:rsid w:val="008A1A0D"/>
    <w:rsid w:val="008A72E1"/>
    <w:rsid w:val="008A76ED"/>
    <w:rsid w:val="008B3C72"/>
    <w:rsid w:val="008B5ECD"/>
    <w:rsid w:val="008C022A"/>
    <w:rsid w:val="008C2D68"/>
    <w:rsid w:val="008C3EA4"/>
    <w:rsid w:val="008C5FED"/>
    <w:rsid w:val="008C6C3E"/>
    <w:rsid w:val="008D0E09"/>
    <w:rsid w:val="008E7931"/>
    <w:rsid w:val="008F617E"/>
    <w:rsid w:val="009028C8"/>
    <w:rsid w:val="00903007"/>
    <w:rsid w:val="0090457C"/>
    <w:rsid w:val="00907A79"/>
    <w:rsid w:val="00923816"/>
    <w:rsid w:val="0092727B"/>
    <w:rsid w:val="009301DD"/>
    <w:rsid w:val="0093074B"/>
    <w:rsid w:val="00930E64"/>
    <w:rsid w:val="00941DE6"/>
    <w:rsid w:val="00943CF9"/>
    <w:rsid w:val="009465A6"/>
    <w:rsid w:val="00953846"/>
    <w:rsid w:val="00956F8C"/>
    <w:rsid w:val="00961D57"/>
    <w:rsid w:val="00976716"/>
    <w:rsid w:val="0097693B"/>
    <w:rsid w:val="00986020"/>
    <w:rsid w:val="00993355"/>
    <w:rsid w:val="009963F7"/>
    <w:rsid w:val="009A11CB"/>
    <w:rsid w:val="009A4A6D"/>
    <w:rsid w:val="009B05BD"/>
    <w:rsid w:val="009B44DD"/>
    <w:rsid w:val="009B6BD5"/>
    <w:rsid w:val="009B7E42"/>
    <w:rsid w:val="009C4387"/>
    <w:rsid w:val="009C7235"/>
    <w:rsid w:val="009D46CE"/>
    <w:rsid w:val="009D4ADA"/>
    <w:rsid w:val="009E13DD"/>
    <w:rsid w:val="009F1D71"/>
    <w:rsid w:val="009F547A"/>
    <w:rsid w:val="00A03D78"/>
    <w:rsid w:val="00A0503B"/>
    <w:rsid w:val="00A059CD"/>
    <w:rsid w:val="00A106EE"/>
    <w:rsid w:val="00A12EB7"/>
    <w:rsid w:val="00A13265"/>
    <w:rsid w:val="00A14900"/>
    <w:rsid w:val="00A2159F"/>
    <w:rsid w:val="00A324FF"/>
    <w:rsid w:val="00A32E8C"/>
    <w:rsid w:val="00A35F42"/>
    <w:rsid w:val="00A363FD"/>
    <w:rsid w:val="00A529BC"/>
    <w:rsid w:val="00A5346C"/>
    <w:rsid w:val="00A53F51"/>
    <w:rsid w:val="00A562F0"/>
    <w:rsid w:val="00A564FB"/>
    <w:rsid w:val="00A614C1"/>
    <w:rsid w:val="00A61EA6"/>
    <w:rsid w:val="00A657BF"/>
    <w:rsid w:val="00A71136"/>
    <w:rsid w:val="00A92578"/>
    <w:rsid w:val="00A95DEB"/>
    <w:rsid w:val="00AA474C"/>
    <w:rsid w:val="00AA4DDC"/>
    <w:rsid w:val="00AA5004"/>
    <w:rsid w:val="00AB2376"/>
    <w:rsid w:val="00AB68F1"/>
    <w:rsid w:val="00AC35EF"/>
    <w:rsid w:val="00AC4D5B"/>
    <w:rsid w:val="00AD1DDB"/>
    <w:rsid w:val="00AD2697"/>
    <w:rsid w:val="00AD7E5F"/>
    <w:rsid w:val="00AE2FFA"/>
    <w:rsid w:val="00AE3066"/>
    <w:rsid w:val="00AF68E4"/>
    <w:rsid w:val="00B00A87"/>
    <w:rsid w:val="00B01AA1"/>
    <w:rsid w:val="00B023E0"/>
    <w:rsid w:val="00B06025"/>
    <w:rsid w:val="00B30C81"/>
    <w:rsid w:val="00B30DA1"/>
    <w:rsid w:val="00B32194"/>
    <w:rsid w:val="00B45101"/>
    <w:rsid w:val="00B4793B"/>
    <w:rsid w:val="00B56099"/>
    <w:rsid w:val="00B57D77"/>
    <w:rsid w:val="00B61C93"/>
    <w:rsid w:val="00B64A60"/>
    <w:rsid w:val="00B661AC"/>
    <w:rsid w:val="00B8468D"/>
    <w:rsid w:val="00B937D7"/>
    <w:rsid w:val="00B96B67"/>
    <w:rsid w:val="00BB0EA4"/>
    <w:rsid w:val="00BB21C0"/>
    <w:rsid w:val="00BC1ADC"/>
    <w:rsid w:val="00BC57EF"/>
    <w:rsid w:val="00BC5B60"/>
    <w:rsid w:val="00BC69DB"/>
    <w:rsid w:val="00BD1C4B"/>
    <w:rsid w:val="00BD5816"/>
    <w:rsid w:val="00BE6B6B"/>
    <w:rsid w:val="00BF25F9"/>
    <w:rsid w:val="00C00B04"/>
    <w:rsid w:val="00C13FD5"/>
    <w:rsid w:val="00C15633"/>
    <w:rsid w:val="00C15799"/>
    <w:rsid w:val="00C22475"/>
    <w:rsid w:val="00C25105"/>
    <w:rsid w:val="00C30840"/>
    <w:rsid w:val="00C32E84"/>
    <w:rsid w:val="00C35415"/>
    <w:rsid w:val="00C357AD"/>
    <w:rsid w:val="00C516C7"/>
    <w:rsid w:val="00C51C5F"/>
    <w:rsid w:val="00C554CC"/>
    <w:rsid w:val="00C6069C"/>
    <w:rsid w:val="00C67FE0"/>
    <w:rsid w:val="00C70477"/>
    <w:rsid w:val="00C74745"/>
    <w:rsid w:val="00C77CEB"/>
    <w:rsid w:val="00C85119"/>
    <w:rsid w:val="00C93FC5"/>
    <w:rsid w:val="00C95572"/>
    <w:rsid w:val="00C95C48"/>
    <w:rsid w:val="00CA05C9"/>
    <w:rsid w:val="00CA41E7"/>
    <w:rsid w:val="00CA431C"/>
    <w:rsid w:val="00CA6902"/>
    <w:rsid w:val="00CC3A00"/>
    <w:rsid w:val="00CD0A94"/>
    <w:rsid w:val="00CD170C"/>
    <w:rsid w:val="00CD256B"/>
    <w:rsid w:val="00CD320B"/>
    <w:rsid w:val="00CD38CE"/>
    <w:rsid w:val="00CD3F37"/>
    <w:rsid w:val="00CD5431"/>
    <w:rsid w:val="00CE4B93"/>
    <w:rsid w:val="00CF2491"/>
    <w:rsid w:val="00CF3963"/>
    <w:rsid w:val="00D00828"/>
    <w:rsid w:val="00D1252E"/>
    <w:rsid w:val="00D13D9D"/>
    <w:rsid w:val="00D14AFE"/>
    <w:rsid w:val="00D365AF"/>
    <w:rsid w:val="00D369E5"/>
    <w:rsid w:val="00D416A3"/>
    <w:rsid w:val="00D44B5F"/>
    <w:rsid w:val="00D459A2"/>
    <w:rsid w:val="00D530FF"/>
    <w:rsid w:val="00D53688"/>
    <w:rsid w:val="00D5407A"/>
    <w:rsid w:val="00D57772"/>
    <w:rsid w:val="00D72AE3"/>
    <w:rsid w:val="00D72EBD"/>
    <w:rsid w:val="00D75A4D"/>
    <w:rsid w:val="00D80DB5"/>
    <w:rsid w:val="00D8478B"/>
    <w:rsid w:val="00D86151"/>
    <w:rsid w:val="00D9172D"/>
    <w:rsid w:val="00D948B7"/>
    <w:rsid w:val="00D97E84"/>
    <w:rsid w:val="00DA5641"/>
    <w:rsid w:val="00DA7595"/>
    <w:rsid w:val="00DB0A68"/>
    <w:rsid w:val="00DB63F1"/>
    <w:rsid w:val="00DC43A3"/>
    <w:rsid w:val="00DC4CF3"/>
    <w:rsid w:val="00DC5C01"/>
    <w:rsid w:val="00DD7C09"/>
    <w:rsid w:val="00DE1F5B"/>
    <w:rsid w:val="00DE63DE"/>
    <w:rsid w:val="00DF0EB4"/>
    <w:rsid w:val="00DF111E"/>
    <w:rsid w:val="00DF6BD8"/>
    <w:rsid w:val="00E0124F"/>
    <w:rsid w:val="00E01840"/>
    <w:rsid w:val="00E126F1"/>
    <w:rsid w:val="00E2544E"/>
    <w:rsid w:val="00E27C63"/>
    <w:rsid w:val="00E40749"/>
    <w:rsid w:val="00E5762A"/>
    <w:rsid w:val="00E674D3"/>
    <w:rsid w:val="00E70FD0"/>
    <w:rsid w:val="00E720A1"/>
    <w:rsid w:val="00E72B2C"/>
    <w:rsid w:val="00E7309D"/>
    <w:rsid w:val="00E7321D"/>
    <w:rsid w:val="00E77C4B"/>
    <w:rsid w:val="00E9301F"/>
    <w:rsid w:val="00E9690A"/>
    <w:rsid w:val="00E97DC7"/>
    <w:rsid w:val="00EC2A90"/>
    <w:rsid w:val="00EE5249"/>
    <w:rsid w:val="00EE6D69"/>
    <w:rsid w:val="00EF1C6A"/>
    <w:rsid w:val="00F000EF"/>
    <w:rsid w:val="00F2504E"/>
    <w:rsid w:val="00F2585B"/>
    <w:rsid w:val="00F32020"/>
    <w:rsid w:val="00F3494D"/>
    <w:rsid w:val="00F4053F"/>
    <w:rsid w:val="00F516E7"/>
    <w:rsid w:val="00F57BF7"/>
    <w:rsid w:val="00F60001"/>
    <w:rsid w:val="00F6263E"/>
    <w:rsid w:val="00F627C2"/>
    <w:rsid w:val="00F736FD"/>
    <w:rsid w:val="00F80EB5"/>
    <w:rsid w:val="00F84067"/>
    <w:rsid w:val="00FA024D"/>
    <w:rsid w:val="00FA50B4"/>
    <w:rsid w:val="00FB60D2"/>
    <w:rsid w:val="00FB6E83"/>
    <w:rsid w:val="00FC156A"/>
    <w:rsid w:val="00FD6235"/>
    <w:rsid w:val="00FE13D1"/>
    <w:rsid w:val="00FE3DE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63751C6-D27A-4C24-B626-4560B898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0F61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F6153"/>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FT,DNV"/>
    <w:basedOn w:val="Normal"/>
    <w:link w:val="FootnoteTextChar"/>
    <w:unhideWhenUsed/>
    <w:qFormat/>
    <w:rsid w:val="00D5407A"/>
    <w:rPr>
      <w:sz w:val="20"/>
      <w:szCs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FT Char"/>
    <w:basedOn w:val="DefaultParagraphFont"/>
    <w:link w:val="FootnoteText"/>
    <w:qFormat/>
    <w:rsid w:val="00D5407A"/>
    <w:rPr>
      <w:rFonts w:eastAsia="BatangChe"/>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unhideWhenUsed/>
    <w:qFormat/>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link w:val="enumlev1Char"/>
    <w:qFormat/>
    <w:rsid w:val="00433E38"/>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Appref">
    <w:name w:val="App_ref"/>
    <w:basedOn w:val="DefaultParagraphFont"/>
    <w:rsid w:val="00433E38"/>
  </w:style>
  <w:style w:type="character" w:customStyle="1" w:styleId="Artdef">
    <w:name w:val="Art_def"/>
    <w:basedOn w:val="DefaultParagraphFont"/>
    <w:qFormat/>
    <w:rsid w:val="00433E38"/>
    <w:rPr>
      <w:rFonts w:ascii="Times New Roman" w:hAnsi="Times New Roman"/>
      <w:b/>
    </w:rPr>
  </w:style>
  <w:style w:type="character" w:customStyle="1" w:styleId="Artref">
    <w:name w:val="Art_ref"/>
    <w:basedOn w:val="DefaultParagraphFont"/>
    <w:qFormat/>
    <w:rsid w:val="00433E38"/>
  </w:style>
  <w:style w:type="character" w:customStyle="1" w:styleId="Provsplit">
    <w:name w:val="Prov_split"/>
    <w:basedOn w:val="DefaultParagraphFont"/>
    <w:qFormat/>
    <w:rsid w:val="00433E38"/>
    <w:rPr>
      <w:rFonts w:ascii="Times New Roman" w:hAnsi="Times New Roman"/>
      <w:b w:val="0"/>
    </w:rPr>
  </w:style>
  <w:style w:type="character" w:customStyle="1" w:styleId="enumlev1Char">
    <w:name w:val="enumlev1 Char"/>
    <w:basedOn w:val="DefaultParagraphFont"/>
    <w:link w:val="enumlev1"/>
    <w:qFormat/>
    <w:rsid w:val="00433E38"/>
    <w:rPr>
      <w:rFonts w:eastAsia="Times New Roman"/>
      <w:sz w:val="24"/>
      <w:lang w:val="en-GB"/>
    </w:rPr>
  </w:style>
  <w:style w:type="character" w:customStyle="1" w:styleId="ApprefBold">
    <w:name w:val="App_ref + Bold"/>
    <w:basedOn w:val="Appref"/>
    <w:qFormat/>
    <w:rsid w:val="00433E38"/>
    <w:rPr>
      <w:b/>
      <w:color w:val="000000"/>
    </w:rPr>
  </w:style>
  <w:style w:type="character" w:customStyle="1" w:styleId="ApprefBold0">
    <w:name w:val="App_ref +  Bold"/>
    <w:rsid w:val="00433E38"/>
    <w:rPr>
      <w:b/>
      <w:color w:val="auto"/>
    </w:rPr>
  </w:style>
  <w:style w:type="paragraph" w:customStyle="1" w:styleId="Headingb">
    <w:name w:val="Heading_b"/>
    <w:basedOn w:val="Normal"/>
    <w:next w:val="Normal"/>
    <w:link w:val="HeadingbChar"/>
    <w:qFormat/>
    <w:rsid w:val="00433E38"/>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szCs w:val="20"/>
      <w:lang w:val="fr-CH"/>
    </w:rPr>
  </w:style>
  <w:style w:type="character" w:customStyle="1" w:styleId="HeadingbChar">
    <w:name w:val="Heading_b Char"/>
    <w:link w:val="Headingb"/>
    <w:locked/>
    <w:rsid w:val="00433E38"/>
    <w:rPr>
      <w:rFonts w:ascii="Times New Roman Bold" w:eastAsia="Times New Roman" w:hAnsi="Times New Roman Bold" w:cs="Times New Roman Bold"/>
      <w:b/>
      <w:sz w:val="24"/>
      <w:lang w:val="fr-CH"/>
    </w:rPr>
  </w:style>
  <w:style w:type="character" w:customStyle="1" w:styleId="Heading8Char">
    <w:name w:val="Heading 8 Char"/>
    <w:basedOn w:val="DefaultParagraphFont"/>
    <w:link w:val="Heading8"/>
    <w:rsid w:val="00433E38"/>
    <w:rPr>
      <w:rFonts w:eastAsia="BatangChe"/>
      <w:b/>
      <w:bCs/>
      <w:kern w:val="2"/>
      <w:lang w:eastAsia="ko-KR"/>
    </w:rPr>
  </w:style>
  <w:style w:type="character" w:customStyle="1" w:styleId="ECCHLbold">
    <w:name w:val="ECC HL bold"/>
    <w:uiPriority w:val="1"/>
    <w:qFormat/>
    <w:rsid w:val="008C6C3E"/>
    <w:rPr>
      <w:b/>
      <w:bCs/>
    </w:rPr>
  </w:style>
  <w:style w:type="character" w:customStyle="1" w:styleId="Heading2Char">
    <w:name w:val="Heading 2 Char"/>
    <w:basedOn w:val="DefaultParagraphFont"/>
    <w:link w:val="Heading2"/>
    <w:semiHidden/>
    <w:rsid w:val="000F61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F6153"/>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67DE-A4B3-4E5E-A0BE-36564C99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7397</Characters>
  <Application>Microsoft Office Word</Application>
  <DocSecurity>0</DocSecurity>
  <Lines>61</Lines>
  <Paragraphs>17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4</cp:revision>
  <cp:lastPrinted>2015-02-02T07:28:00Z</cp:lastPrinted>
  <dcterms:created xsi:type="dcterms:W3CDTF">2019-08-09T03:35:00Z</dcterms:created>
  <dcterms:modified xsi:type="dcterms:W3CDTF">2019-08-09T03:35:00Z</dcterms:modified>
</cp:coreProperties>
</file>