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D82BA9A" w14:textId="77777777" w:rsidTr="00194A2D">
        <w:trPr>
          <w:cantSplit/>
          <w:trHeight w:val="288"/>
        </w:trPr>
        <w:tc>
          <w:tcPr>
            <w:tcW w:w="1399" w:type="dxa"/>
            <w:vMerge w:val="restart"/>
          </w:tcPr>
          <w:p w14:paraId="74D4C55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56874F24" wp14:editId="1FF3F12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1A46557" w14:textId="77777777" w:rsidR="00C516C7" w:rsidRPr="00E86131" w:rsidRDefault="00C516C7" w:rsidP="00194A2D">
            <w:r w:rsidRPr="00E86131">
              <w:t>ASIA-PACIFIC TELECOMMUNITY</w:t>
            </w:r>
          </w:p>
        </w:tc>
        <w:tc>
          <w:tcPr>
            <w:tcW w:w="2160" w:type="dxa"/>
          </w:tcPr>
          <w:p w14:paraId="3AD08B74" w14:textId="77777777" w:rsidR="00C516C7" w:rsidRPr="00723BE9" w:rsidRDefault="00C516C7" w:rsidP="00194A2D">
            <w:pPr>
              <w:rPr>
                <w:b/>
                <w:sz w:val="22"/>
                <w:szCs w:val="22"/>
              </w:rPr>
            </w:pPr>
            <w:r w:rsidRPr="00723BE9">
              <w:rPr>
                <w:b/>
              </w:rPr>
              <w:t>Document No:</w:t>
            </w:r>
          </w:p>
        </w:tc>
      </w:tr>
      <w:tr w:rsidR="00C516C7" w:rsidRPr="00C15799" w14:paraId="5D263139" w14:textId="77777777" w:rsidTr="00194A2D">
        <w:trPr>
          <w:cantSplit/>
          <w:trHeight w:val="504"/>
        </w:trPr>
        <w:tc>
          <w:tcPr>
            <w:tcW w:w="1399" w:type="dxa"/>
            <w:vMerge/>
          </w:tcPr>
          <w:p w14:paraId="4B3DA180" w14:textId="77777777" w:rsidR="00C516C7" w:rsidRPr="00891D0B" w:rsidRDefault="00C516C7" w:rsidP="00194A2D"/>
        </w:tc>
        <w:tc>
          <w:tcPr>
            <w:tcW w:w="5760" w:type="dxa"/>
          </w:tcPr>
          <w:p w14:paraId="16699993" w14:textId="77777777" w:rsidR="00C516C7" w:rsidRDefault="00C516C7" w:rsidP="00194A2D">
            <w:pPr>
              <w:spacing w:line="0" w:lineRule="atLeast"/>
              <w:rPr>
                <w:b/>
              </w:rPr>
            </w:pPr>
            <w:r>
              <w:rPr>
                <w:b/>
              </w:rPr>
              <w:t xml:space="preserve">The </w:t>
            </w:r>
            <w:r w:rsidR="00CD256B">
              <w:rPr>
                <w:b/>
              </w:rPr>
              <w:t>5</w:t>
            </w:r>
            <w:r>
              <w:rPr>
                <w:b/>
              </w:rPr>
              <w:t>th Meeting of the APT Conference Preparatory</w:t>
            </w:r>
          </w:p>
          <w:p w14:paraId="6C35495B" w14:textId="77777777" w:rsidR="00C516C7" w:rsidRPr="00891D0B" w:rsidRDefault="00C516C7" w:rsidP="00CD256B">
            <w:pPr>
              <w:spacing w:line="0" w:lineRule="atLeast"/>
            </w:pPr>
            <w:r>
              <w:rPr>
                <w:b/>
              </w:rPr>
              <w:t>Group for WRC-19 (APG19-</w:t>
            </w:r>
            <w:r w:rsidR="00CD256B">
              <w:rPr>
                <w:b/>
              </w:rPr>
              <w:t>5</w:t>
            </w:r>
            <w:r>
              <w:rPr>
                <w:b/>
              </w:rPr>
              <w:t>)</w:t>
            </w:r>
          </w:p>
        </w:tc>
        <w:tc>
          <w:tcPr>
            <w:tcW w:w="2160" w:type="dxa"/>
          </w:tcPr>
          <w:p w14:paraId="534C27A9" w14:textId="61FEF483"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8944AE">
              <w:rPr>
                <w:b/>
                <w:bCs/>
                <w:lang w:val="fr-FR"/>
              </w:rPr>
              <w:t>OUT-27</w:t>
            </w:r>
          </w:p>
          <w:p w14:paraId="2B9A651F" w14:textId="5F3C5016" w:rsidR="00C516C7" w:rsidRDefault="00BA08D2" w:rsidP="00194A2D">
            <w:pPr>
              <w:spacing w:line="0" w:lineRule="atLeast"/>
              <w:rPr>
                <w:b/>
              </w:rPr>
            </w:pPr>
            <w:r>
              <w:rPr>
                <w:b/>
              </w:rPr>
              <w:t>(Rev.1)</w:t>
            </w:r>
          </w:p>
        </w:tc>
      </w:tr>
      <w:tr w:rsidR="00C516C7" w:rsidRPr="00891D0B" w14:paraId="6D88A875" w14:textId="77777777" w:rsidTr="00194A2D">
        <w:trPr>
          <w:cantSplit/>
          <w:trHeight w:val="288"/>
        </w:trPr>
        <w:tc>
          <w:tcPr>
            <w:tcW w:w="1399" w:type="dxa"/>
            <w:vMerge/>
          </w:tcPr>
          <w:p w14:paraId="1D3B452E" w14:textId="77777777" w:rsidR="00C516C7" w:rsidRPr="007E1FDD" w:rsidRDefault="00C516C7" w:rsidP="00194A2D">
            <w:pPr>
              <w:rPr>
                <w:lang w:val="en-GB"/>
              </w:rPr>
            </w:pPr>
          </w:p>
        </w:tc>
        <w:tc>
          <w:tcPr>
            <w:tcW w:w="5760" w:type="dxa"/>
            <w:vAlign w:val="bottom"/>
          </w:tcPr>
          <w:p w14:paraId="05D9B7A7" w14:textId="77777777"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14:paraId="0C672F27" w14:textId="19CF2B54" w:rsidR="00C516C7" w:rsidRDefault="00866CC1" w:rsidP="00866CC1">
            <w:r>
              <w:rPr>
                <w:bCs/>
              </w:rPr>
              <w:t xml:space="preserve">5 </w:t>
            </w:r>
            <w:r w:rsidR="00C95572">
              <w:rPr>
                <w:bCs/>
              </w:rPr>
              <w:t>August</w:t>
            </w:r>
            <w:r w:rsidR="00C516C7">
              <w:rPr>
                <w:bCs/>
              </w:rPr>
              <w:t xml:space="preserve"> </w:t>
            </w:r>
            <w:r w:rsidR="00C516C7" w:rsidRPr="007E1FDD">
              <w:rPr>
                <w:bCs/>
              </w:rPr>
              <w:t>201</w:t>
            </w:r>
            <w:r w:rsidR="00C516C7">
              <w:rPr>
                <w:bCs/>
              </w:rPr>
              <w:t>9</w:t>
            </w:r>
          </w:p>
        </w:tc>
      </w:tr>
    </w:tbl>
    <w:p w14:paraId="2EB380AC" w14:textId="77777777" w:rsidR="00311E8A" w:rsidRDefault="00311E8A" w:rsidP="0072518B">
      <w:pPr>
        <w:jc w:val="center"/>
        <w:rPr>
          <w:lang w:val="en-NZ"/>
        </w:rPr>
      </w:pPr>
    </w:p>
    <w:p w14:paraId="679F2FBA" w14:textId="77777777" w:rsidR="00214EC5" w:rsidRDefault="00214EC5" w:rsidP="00B64A60">
      <w:pPr>
        <w:jc w:val="center"/>
        <w:rPr>
          <w:lang w:val="en-NZ" w:eastAsia="ko-KR"/>
        </w:rPr>
      </w:pPr>
    </w:p>
    <w:p w14:paraId="375C1D2D" w14:textId="42574192" w:rsidR="00B64A60" w:rsidRPr="002A0111" w:rsidRDefault="003163DE" w:rsidP="00B64A60">
      <w:pPr>
        <w:jc w:val="center"/>
        <w:rPr>
          <w:lang w:val="en-NZ" w:eastAsia="ko-KR"/>
        </w:rPr>
      </w:pPr>
      <w:r>
        <w:rPr>
          <w:lang w:val="en-NZ" w:eastAsia="ko-KR"/>
        </w:rPr>
        <w:t>Working Party 1</w:t>
      </w:r>
    </w:p>
    <w:p w14:paraId="63D82741" w14:textId="77777777" w:rsidR="00B64A60" w:rsidRPr="002A0111" w:rsidRDefault="00B64A60" w:rsidP="00B64A60">
      <w:pPr>
        <w:jc w:val="center"/>
        <w:rPr>
          <w:bCs/>
          <w:caps/>
          <w:lang w:val="en-NZ"/>
        </w:rPr>
      </w:pPr>
    </w:p>
    <w:p w14:paraId="7666D5A2" w14:textId="0CF71EE8"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14:paraId="621E8CB4" w14:textId="77777777" w:rsidR="00B64A60" w:rsidRPr="00441526" w:rsidRDefault="00B64A60" w:rsidP="00B64A60">
      <w:pPr>
        <w:jc w:val="center"/>
        <w:rPr>
          <w:b/>
          <w:bCs/>
          <w:caps/>
          <w:lang w:val="en-NZ"/>
        </w:rPr>
      </w:pPr>
      <w:r w:rsidRPr="00441526">
        <w:rPr>
          <w:b/>
          <w:bCs/>
          <w:caps/>
          <w:lang w:val="en-NZ"/>
        </w:rPr>
        <w:t>on WRC-19 agenda item 1.</w:t>
      </w:r>
      <w:r w:rsidR="00E854AA">
        <w:rPr>
          <w:b/>
          <w:bCs/>
          <w:caps/>
          <w:lang w:val="en-NZ"/>
        </w:rPr>
        <w:t>12</w:t>
      </w:r>
    </w:p>
    <w:p w14:paraId="4908C21D" w14:textId="77777777" w:rsidR="00B64A60" w:rsidRPr="00441526" w:rsidRDefault="00B64A60" w:rsidP="00264566">
      <w:pPr>
        <w:spacing w:after="120"/>
        <w:rPr>
          <w:lang w:val="en-NZ"/>
        </w:rPr>
      </w:pPr>
    </w:p>
    <w:p w14:paraId="700B9B83" w14:textId="77777777" w:rsidR="002A0111" w:rsidRPr="00441526" w:rsidRDefault="002A0111" w:rsidP="002A0111">
      <w:pPr>
        <w:spacing w:after="120"/>
        <w:jc w:val="both"/>
        <w:rPr>
          <w:lang w:val="en-NZ"/>
        </w:rPr>
      </w:pPr>
      <w:r w:rsidRPr="00441526">
        <w:rPr>
          <w:b/>
          <w:lang w:val="en-NZ"/>
        </w:rPr>
        <w:t>Agenda Item 1.</w:t>
      </w:r>
      <w:r w:rsidR="00E854AA">
        <w:rPr>
          <w:b/>
          <w:lang w:val="en-NZ"/>
        </w:rPr>
        <w:t>12</w:t>
      </w:r>
      <w:r w:rsidRPr="00441526">
        <w:rPr>
          <w:b/>
          <w:lang w:val="en-NZ"/>
        </w:rPr>
        <w:t xml:space="preserve">: </w:t>
      </w:r>
    </w:p>
    <w:p w14:paraId="0859EDA6" w14:textId="77777777" w:rsidR="00E025A9" w:rsidRDefault="00E025A9" w:rsidP="00E025A9">
      <w:pPr>
        <w:jc w:val="both"/>
        <w:rPr>
          <w:i/>
          <w:lang w:val="en-NZ"/>
        </w:rPr>
      </w:pPr>
      <w:r w:rsidRPr="00FD1A60">
        <w:rPr>
          <w:i/>
          <w:lang w:val="en-NZ"/>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2715FD">
        <w:rPr>
          <w:b/>
          <w:bCs/>
          <w:i/>
          <w:lang w:val="en-NZ"/>
        </w:rPr>
        <w:t>237 (WRC-15)</w:t>
      </w:r>
      <w:r w:rsidRPr="00FD1A60">
        <w:rPr>
          <w:i/>
          <w:lang w:val="en-NZ"/>
        </w:rPr>
        <w:t>;</w:t>
      </w:r>
    </w:p>
    <w:p w14:paraId="7CFEB2EC" w14:textId="77777777" w:rsidR="002A0111" w:rsidRPr="00441526" w:rsidRDefault="002A0111" w:rsidP="002A0111">
      <w:pPr>
        <w:jc w:val="both"/>
        <w:rPr>
          <w:lang w:val="en-NZ"/>
        </w:rPr>
      </w:pPr>
    </w:p>
    <w:p w14:paraId="5222FBB9"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31FC8F1" w14:textId="0B1C9EB0" w:rsidR="006A2C47" w:rsidRPr="00A802E0" w:rsidRDefault="006A2C47" w:rsidP="00C8569D">
      <w:pPr>
        <w:jc w:val="both"/>
        <w:rPr>
          <w:rFonts w:eastAsiaTheme="minorEastAsia"/>
          <w:lang w:eastAsia="ja-JP"/>
        </w:rPr>
      </w:pPr>
      <w:r w:rsidRPr="00A802E0">
        <w:rPr>
          <w:iCs/>
          <w:lang w:eastAsia="zh-CN"/>
        </w:rPr>
        <w:t xml:space="preserve">Several ITU-R Reports and Recommendations have been developed in support of agenda item 1.12. </w:t>
      </w:r>
      <w:r w:rsidRPr="00A802E0">
        <w:t xml:space="preserve">Recommendation ITU-R M.2121 recommends that several frequency bands within each Region, in whole or in part, be used for current and future ITS applications. Report ITU-R M.2445 addresses overall ITS usage in various countries, and </w:t>
      </w:r>
      <w:r w:rsidRPr="00A802E0">
        <w:rPr>
          <w:iCs/>
          <w:lang w:eastAsia="zh-CN"/>
        </w:rPr>
        <w:t xml:space="preserve">Report ITU-R M.2444 provides examples of arrangements for ITS deployments. </w:t>
      </w:r>
      <w:r w:rsidRPr="00A802E0">
        <w:rPr>
          <w:rFonts w:eastAsiaTheme="minorEastAsia"/>
          <w:lang w:eastAsia="ja-JP"/>
        </w:rPr>
        <w:t xml:space="preserve">In AWG, APT Report on “Usage of Intelligent Transportation Systems in APT Countries” (APT/AWG/REP-18 (Rev.2)) was published. </w:t>
      </w:r>
    </w:p>
    <w:p w14:paraId="156C8C23" w14:textId="77777777" w:rsidR="006A2C47" w:rsidRPr="004D553C" w:rsidRDefault="006A2C47" w:rsidP="006A2C47">
      <w:pPr>
        <w:spacing w:before="120"/>
        <w:jc w:val="both"/>
        <w:rPr>
          <w:lang w:val="en-NZ"/>
        </w:rPr>
      </w:pPr>
      <w:r w:rsidRPr="004D553C">
        <w:rPr>
          <w:lang w:val="en-NZ"/>
        </w:rPr>
        <w:t xml:space="preserve">Relevant ITU-R Reports/Recommendations, APT Reports/Recommendations and ongoing studies are as follows: </w:t>
      </w:r>
    </w:p>
    <w:p w14:paraId="0048D23E"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Recommendation ITU-R M.1452-2, “Millimetre wave radiocommunication systems for ITS applications”</w:t>
      </w:r>
    </w:p>
    <w:p w14:paraId="04B6387E"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Recommendation ITU-R M.1453-2, “Intelligent Transport Systems – Dedicated Short Range Communications at 5.8 GHz”</w:t>
      </w:r>
    </w:p>
    <w:p w14:paraId="5DA1F471"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Recommendation ITU-R M.1890-</w:t>
      </w:r>
      <w:r>
        <w:rPr>
          <w:rFonts w:eastAsia="Malgun Gothic"/>
          <w:color w:val="000000" w:themeColor="text1"/>
          <w:lang w:eastAsia="ko-KR"/>
        </w:rPr>
        <w:t>1</w:t>
      </w:r>
      <w:r w:rsidRPr="004D553C">
        <w:rPr>
          <w:rFonts w:eastAsia="Malgun Gothic"/>
          <w:color w:val="000000" w:themeColor="text1"/>
          <w:lang w:eastAsia="ko-KR"/>
        </w:rPr>
        <w:t>, “Operational radiocommunication objectives and requirements for advanced Intelligent Transport Systems”</w:t>
      </w:r>
    </w:p>
    <w:p w14:paraId="292B83E1" w14:textId="77777777" w:rsidR="006A2C47" w:rsidRPr="00A802E0" w:rsidRDefault="006A2C47" w:rsidP="006A2C47">
      <w:pPr>
        <w:pStyle w:val="ListParagraph"/>
        <w:numPr>
          <w:ilvl w:val="0"/>
          <w:numId w:val="24"/>
        </w:numPr>
        <w:ind w:hanging="720"/>
        <w:jc w:val="both"/>
        <w:rPr>
          <w:rFonts w:eastAsia="Malgun Gothic"/>
          <w:color w:val="000000" w:themeColor="text1"/>
          <w:lang w:eastAsia="ko-KR"/>
        </w:rPr>
      </w:pPr>
      <w:r w:rsidRPr="00A802E0">
        <w:rPr>
          <w:rFonts w:eastAsia="Malgun Gothic"/>
          <w:color w:val="000000" w:themeColor="text1"/>
          <w:lang w:eastAsia="ko-KR"/>
        </w:rPr>
        <w:t>Draft revision of Recommendation ITU-R M.2084-0, “Radio interface standards of vehicle-to-vehicle and vehicle-to-infrastructure two-way communications for intelligent transport systems applications” (</w:t>
      </w:r>
      <w:hyperlink r:id="rId10" w:history="1">
        <w:r w:rsidRPr="00A802E0">
          <w:rPr>
            <w:rStyle w:val="Hyperlink"/>
            <w:rFonts w:eastAsia="Malgun Gothic"/>
            <w:lang w:eastAsia="ko-KR"/>
          </w:rPr>
          <w:t>Document 5/149</w:t>
        </w:r>
      </w:hyperlink>
      <w:r w:rsidRPr="00A802E0">
        <w:rPr>
          <w:rFonts w:eastAsia="Malgun Gothic"/>
          <w:color w:val="000000" w:themeColor="text1"/>
          <w:lang w:eastAsia="ko-KR"/>
        </w:rPr>
        <w:t>)</w:t>
      </w:r>
    </w:p>
    <w:p w14:paraId="056F26DC"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Recommendation ITU-R M.</w:t>
      </w:r>
      <w:r>
        <w:rPr>
          <w:rFonts w:eastAsia="Malgun Gothic"/>
          <w:color w:val="000000" w:themeColor="text1"/>
          <w:lang w:eastAsia="ko-KR"/>
        </w:rPr>
        <w:t>2121</w:t>
      </w:r>
      <w:r w:rsidRPr="004D553C">
        <w:rPr>
          <w:rFonts w:eastAsia="Malgun Gothic"/>
          <w:color w:val="000000" w:themeColor="text1"/>
          <w:lang w:eastAsia="ko-KR"/>
        </w:rPr>
        <w:t xml:space="preserve">, “Harmonization of frequency bands for Intelligent Transport Systems in the mobile service” </w:t>
      </w:r>
    </w:p>
    <w:p w14:paraId="14326A6A"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Report ITU-R M.2228</w:t>
      </w:r>
      <w:r>
        <w:rPr>
          <w:rFonts w:eastAsia="Malgun Gothic"/>
          <w:color w:val="000000" w:themeColor="text1"/>
          <w:lang w:eastAsia="ko-KR"/>
        </w:rPr>
        <w:t>-1</w:t>
      </w:r>
      <w:r w:rsidRPr="004D553C">
        <w:rPr>
          <w:rFonts w:eastAsia="Malgun Gothic"/>
          <w:color w:val="000000" w:themeColor="text1"/>
          <w:lang w:eastAsia="ko-KR"/>
        </w:rPr>
        <w:t>, “Advanced Intelligent Transport Systems (ITS) radiocommunications”</w:t>
      </w:r>
    </w:p>
    <w:p w14:paraId="6D292997"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Report ITU-R M.2441, “Emerging usage of the terrestrial component of International Mobile Telecommunication (IMT)”</w:t>
      </w:r>
    </w:p>
    <w:p w14:paraId="5F2D71D3"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Report ITU-R M.2444, "Examples of Arrangements for Intelligent Transport Systems deployments under the mobile service"</w:t>
      </w:r>
    </w:p>
    <w:p w14:paraId="6D74A21D"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Report ITU-R M.2445, “Intelligent transport systems (ITS) usage”</w:t>
      </w:r>
    </w:p>
    <w:p w14:paraId="2E7C130B" w14:textId="77777777" w:rsidR="006A2C47" w:rsidRPr="004D553C" w:rsidRDefault="006A2C47" w:rsidP="006A2C47">
      <w:pPr>
        <w:pStyle w:val="ListParagraph"/>
        <w:numPr>
          <w:ilvl w:val="0"/>
          <w:numId w:val="24"/>
        </w:numPr>
        <w:ind w:hanging="720"/>
        <w:jc w:val="both"/>
        <w:rPr>
          <w:rFonts w:eastAsia="Malgun Gothic"/>
          <w:color w:val="000000" w:themeColor="text1"/>
          <w:lang w:eastAsia="ko-KR"/>
        </w:rPr>
      </w:pPr>
      <w:r w:rsidRPr="004D553C">
        <w:rPr>
          <w:rFonts w:eastAsia="Malgun Gothic"/>
          <w:color w:val="000000" w:themeColor="text1"/>
          <w:lang w:eastAsia="ko-KR"/>
        </w:rPr>
        <w:t xml:space="preserve">APT Report on “Usage of Intelligent Transportation Systems in APT Countries” (APT/AWG/REP-18 (Rev.2)) </w:t>
      </w:r>
    </w:p>
    <w:p w14:paraId="68F36509" w14:textId="77777777" w:rsidR="006A2C47" w:rsidRPr="00A802E0" w:rsidRDefault="006A2C47" w:rsidP="006A2C47">
      <w:pPr>
        <w:pStyle w:val="Default"/>
        <w:spacing w:before="200"/>
      </w:pPr>
      <w:r>
        <w:rPr>
          <w:rFonts w:eastAsia="Malgun Gothic"/>
          <w:color w:val="000000" w:themeColor="text1"/>
          <w:lang w:eastAsia="ko-KR"/>
        </w:rPr>
        <w:t xml:space="preserve">In the </w:t>
      </w:r>
      <w:r w:rsidRPr="006E443D">
        <w:rPr>
          <w:rFonts w:eastAsia="Malgun Gothic"/>
          <w:color w:val="000000" w:themeColor="text1"/>
          <w:lang w:eastAsia="ko-KR"/>
        </w:rPr>
        <w:t>Report of CPM19-2</w:t>
      </w:r>
      <w:r>
        <w:rPr>
          <w:rFonts w:eastAsia="Malgun Gothic"/>
          <w:color w:val="000000" w:themeColor="text1"/>
          <w:lang w:eastAsia="ko-KR"/>
        </w:rPr>
        <w:t>, t</w:t>
      </w:r>
      <w:r w:rsidRPr="00A802E0">
        <w:t xml:space="preserve">hree methods have been proposed to satisfy this agenda item: </w:t>
      </w:r>
    </w:p>
    <w:p w14:paraId="5C77F484" w14:textId="77777777" w:rsidR="006A2C47" w:rsidRPr="00A802E0" w:rsidRDefault="006A2C47" w:rsidP="00C8569D">
      <w:pPr>
        <w:pStyle w:val="Default"/>
        <w:spacing w:before="120"/>
        <w:ind w:left="709" w:hanging="709"/>
        <w:jc w:val="both"/>
      </w:pPr>
      <w:r w:rsidRPr="00A802E0">
        <w:lastRenderedPageBreak/>
        <w:t xml:space="preserve">− </w:t>
      </w:r>
      <w:r w:rsidRPr="00A802E0">
        <w:tab/>
        <w:t xml:space="preserve">Method A: No change to the Radio Regulations because ITS continue to operate within existing mobile service allocations and the required harmonization of frequencies for ITS can be achieved through ITU-R Recommendations and Reports. </w:t>
      </w:r>
    </w:p>
    <w:p w14:paraId="00EC5B87" w14:textId="77777777" w:rsidR="006A2C47" w:rsidRPr="00A802E0" w:rsidRDefault="006A2C47" w:rsidP="00C8569D">
      <w:pPr>
        <w:pStyle w:val="Default"/>
        <w:spacing w:before="120"/>
        <w:ind w:left="709" w:hanging="709"/>
        <w:jc w:val="both"/>
      </w:pPr>
      <w:r w:rsidRPr="00A802E0">
        <w:t xml:space="preserve">− </w:t>
      </w:r>
      <w:r w:rsidRPr="00A802E0">
        <w:tab/>
        <w:t xml:space="preserve">Method B: No change to the Table of Frequency Allocations in the Radio Regulations, and add a new WRC Resolution to encourage administrations to use 5 850-5 925 MHz, or parts thereof, as global harmonized evolving ITS frequency bands. Other harmonized frequency band(s) for evolving ITS applications refer to the most recent version of Recommendation ITU-R M.2121. </w:t>
      </w:r>
    </w:p>
    <w:p w14:paraId="067FE8EB" w14:textId="77777777" w:rsidR="006A2C47" w:rsidRPr="00A802E0" w:rsidRDefault="006A2C47" w:rsidP="00C8569D">
      <w:pPr>
        <w:pStyle w:val="Default"/>
        <w:spacing w:before="120"/>
        <w:ind w:left="709" w:hanging="709"/>
        <w:jc w:val="both"/>
      </w:pPr>
      <w:r w:rsidRPr="00A802E0">
        <w:t xml:space="preserve">− </w:t>
      </w:r>
      <w:r w:rsidRPr="00A802E0">
        <w:tab/>
        <w:t xml:space="preserve">Method C: No change to the Table of Frequency Allocations in the Radio Regulations, and add a new WRC Resolution to encourage administrations to use globally and regionally harmonized frequency bands for evolving ITS applications by referring to the most recent version of Recommendation ITU-R M.2121. </w:t>
      </w:r>
    </w:p>
    <w:p w14:paraId="74172C8D" w14:textId="64008241" w:rsidR="006A2C47" w:rsidRPr="009316ED" w:rsidRDefault="006A2C47" w:rsidP="006A2C47">
      <w:pPr>
        <w:spacing w:before="120"/>
      </w:pPr>
      <w:r w:rsidRPr="00A802E0">
        <w:t xml:space="preserve">For all Methods, Resolution </w:t>
      </w:r>
      <w:r w:rsidRPr="00A802E0">
        <w:rPr>
          <w:b/>
          <w:bCs/>
        </w:rPr>
        <w:t xml:space="preserve">237 (WRC-15) </w:t>
      </w:r>
      <w:r w:rsidRPr="00A802E0">
        <w:t>should be suppressed.</w:t>
      </w:r>
      <w:r w:rsidRPr="009316ED">
        <w:t xml:space="preserve"> </w:t>
      </w:r>
    </w:p>
    <w:p w14:paraId="381516DD" w14:textId="77777777" w:rsidR="002A0111" w:rsidRPr="00441526" w:rsidRDefault="002A0111" w:rsidP="003D3D47">
      <w:pPr>
        <w:ind w:left="348"/>
        <w:jc w:val="both"/>
        <w:rPr>
          <w:i/>
          <w:lang w:val="en-NZ" w:eastAsia="ko-KR"/>
        </w:rPr>
      </w:pPr>
    </w:p>
    <w:p w14:paraId="1C1AFD9F"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2806E5D" w14:textId="77777777" w:rsidR="00B306C7" w:rsidRPr="00414B6A" w:rsidRDefault="007E07F1" w:rsidP="00414B6A">
      <w:pPr>
        <w:pStyle w:val="Default"/>
        <w:spacing w:before="120"/>
        <w:ind w:left="709" w:hanging="709"/>
      </w:pPr>
      <w:r w:rsidRPr="00A802E0">
        <w:t>−</w:t>
      </w:r>
      <w:r>
        <w:tab/>
      </w:r>
      <w:r w:rsidR="002A0111" w:rsidRPr="00414B6A">
        <w:t>Input Documents APG19-</w:t>
      </w:r>
      <w:r w:rsidR="009B6BD5" w:rsidRPr="00414B6A">
        <w:t>5</w:t>
      </w:r>
      <w:r w:rsidR="002A0111" w:rsidRPr="00414B6A">
        <w:t>/INP-</w:t>
      </w:r>
      <w:r w:rsidR="00B306C7" w:rsidRPr="00414B6A">
        <w:t>16 (NZ</w:t>
      </w:r>
      <w:r w:rsidR="00D01316">
        <w:t>L</w:t>
      </w:r>
      <w:r w:rsidR="00B306C7" w:rsidRPr="00414B6A">
        <w:t>), INP-24 (BGD), INP-42 (AUS), INP-49 (INS), INP-75 (J, CHN, MLA), INP-102 (THA), INP-133 (IND)</w:t>
      </w:r>
    </w:p>
    <w:p w14:paraId="2416C911" w14:textId="77777777" w:rsidR="002A0111" w:rsidRPr="00414B6A" w:rsidRDefault="007E07F1" w:rsidP="00414B6A">
      <w:pPr>
        <w:pStyle w:val="Default"/>
        <w:spacing w:before="120"/>
        <w:ind w:left="709" w:hanging="709"/>
      </w:pPr>
      <w:r w:rsidRPr="00A802E0">
        <w:t>−</w:t>
      </w:r>
      <w:r>
        <w:tab/>
      </w:r>
      <w:r w:rsidR="002A0111" w:rsidRPr="00414B6A">
        <w:t>Information Documents APG19-</w:t>
      </w:r>
      <w:r w:rsidR="009B6BD5" w:rsidRPr="00414B6A">
        <w:t>5/</w:t>
      </w:r>
      <w:r w:rsidR="00D06A1C" w:rsidRPr="00414B6A">
        <w:t>INF-02 (ICAO), INF-03 (IARU), INF-18 (CEPT)</w:t>
      </w:r>
      <w:r w:rsidR="00910F03" w:rsidRPr="00414B6A">
        <w:t>, INF-19 (ATU), INF-20 (CITEL), INF-22 (RCC)</w:t>
      </w:r>
    </w:p>
    <w:p w14:paraId="192C5E81" w14:textId="77777777" w:rsidR="002A0111" w:rsidRDefault="002A0111" w:rsidP="002A0111">
      <w:pPr>
        <w:rPr>
          <w:b/>
          <w:lang w:val="en-NZ" w:eastAsia="ko-KR"/>
        </w:rPr>
      </w:pPr>
    </w:p>
    <w:p w14:paraId="60C37346"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452A20D1" w14:textId="77777777" w:rsidR="002A0111" w:rsidRPr="00441526" w:rsidRDefault="002A0111" w:rsidP="00C8569D">
      <w:pPr>
        <w:spacing w:before="12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C39CA56"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837EC8" w:rsidRPr="00414B6A">
        <w:rPr>
          <w:b/>
          <w:lang w:val="en-NZ" w:eastAsia="ko-KR"/>
        </w:rPr>
        <w:t>New Zealand</w:t>
      </w:r>
      <w:r w:rsidRPr="00441526">
        <w:rPr>
          <w:b/>
          <w:lang w:val="en-NZ" w:eastAsia="ko-KR"/>
        </w:rPr>
        <w:t xml:space="preserve"> </w:t>
      </w:r>
      <w:r w:rsidRPr="00414B6A">
        <w:rPr>
          <w:b/>
          <w:lang w:val="en-NZ" w:eastAsia="ko-KR"/>
        </w:rPr>
        <w:t>-</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837EC8">
        <w:rPr>
          <w:b/>
          <w:lang w:val="en-NZ" w:eastAsia="ko-KR"/>
        </w:rPr>
        <w:t>16</w:t>
      </w:r>
    </w:p>
    <w:p w14:paraId="50145255" w14:textId="77777777" w:rsidR="00837EC8" w:rsidRDefault="00837EC8" w:rsidP="00837EC8">
      <w:pPr>
        <w:jc w:val="both"/>
        <w:rPr>
          <w:lang w:val="en-NZ"/>
        </w:rPr>
      </w:pPr>
      <w:r w:rsidRPr="00AE1279">
        <w:rPr>
          <w:lang w:val="en-NZ"/>
        </w:rPr>
        <w:t xml:space="preserve">New Zealand is of the view that the new generation of co-operative ITS should operate within those frequency bands that are already being adopted for ITS use on a regional (or sub-regional) basis within existing mobile service allocations, or an immediately adjacent frequency band that is also appropriate for such use. For this reason, New Zealand supports the use of the frequency band 5 850-5 925 MHz, or parts thereof, when deploying ITS applications. </w:t>
      </w:r>
    </w:p>
    <w:p w14:paraId="4E644272" w14:textId="77777777" w:rsidR="00837EC8" w:rsidRDefault="00837EC8" w:rsidP="00C8569D">
      <w:pPr>
        <w:spacing w:before="120"/>
        <w:jc w:val="both"/>
        <w:rPr>
          <w:lang w:val="en-NZ"/>
        </w:rPr>
      </w:pPr>
      <w:r w:rsidRPr="00C8569D">
        <w:t>New Zealand is also</w:t>
      </w:r>
      <w:r w:rsidRPr="00AE1279">
        <w:rPr>
          <w:lang w:val="en-NZ"/>
        </w:rPr>
        <w:t xml:space="preserve"> of the view that Agenda item 1.12 can be satisfied through non-mandatory ITU-R Recommendation and/or Report without any changes to the Radio Regulations. Therefore, New Zealand supports Method A as outlined in the CPM </w:t>
      </w:r>
      <w:r>
        <w:rPr>
          <w:lang w:val="en-NZ"/>
        </w:rPr>
        <w:t>Report.</w:t>
      </w:r>
    </w:p>
    <w:p w14:paraId="7755F397" w14:textId="77777777" w:rsidR="002A0111" w:rsidRDefault="002A0111" w:rsidP="003D3D47">
      <w:pPr>
        <w:jc w:val="both"/>
        <w:rPr>
          <w:lang w:val="en-NZ"/>
        </w:rPr>
      </w:pPr>
    </w:p>
    <w:p w14:paraId="376EE270" w14:textId="77777777" w:rsidR="004F477A" w:rsidRPr="00441526" w:rsidRDefault="002A0111" w:rsidP="004F477A">
      <w:pPr>
        <w:spacing w:after="120"/>
        <w:jc w:val="both"/>
        <w:rPr>
          <w:lang w:val="en-NZ"/>
        </w:rPr>
      </w:pPr>
      <w:r w:rsidRPr="00441526">
        <w:rPr>
          <w:b/>
          <w:lang w:val="en-NZ" w:eastAsia="ko-KR"/>
        </w:rPr>
        <w:t xml:space="preserve">3.1.2 </w:t>
      </w:r>
      <w:r w:rsidRPr="00441526">
        <w:rPr>
          <w:b/>
          <w:lang w:val="en-NZ" w:eastAsia="ko-KR"/>
        </w:rPr>
        <w:tab/>
      </w:r>
      <w:r w:rsidR="006802F3" w:rsidRPr="006802F3">
        <w:rPr>
          <w:b/>
          <w:lang w:val="en-NZ" w:eastAsia="ko-KR"/>
        </w:rPr>
        <w:t>Bangladesh (People’s Republic of)</w:t>
      </w:r>
      <w:r w:rsidR="006802F3">
        <w:rPr>
          <w:b/>
          <w:lang w:val="en-NZ" w:eastAsia="ko-KR"/>
        </w:rPr>
        <w:t xml:space="preserve"> - </w:t>
      </w:r>
      <w:r w:rsidR="006802F3" w:rsidRPr="00441526">
        <w:rPr>
          <w:b/>
          <w:lang w:val="en-NZ" w:eastAsia="ko-KR"/>
        </w:rPr>
        <w:t>Document APG19-</w:t>
      </w:r>
      <w:r w:rsidR="006802F3">
        <w:rPr>
          <w:b/>
          <w:lang w:val="en-NZ" w:eastAsia="ko-KR"/>
        </w:rPr>
        <w:t>5</w:t>
      </w:r>
      <w:r w:rsidR="006802F3" w:rsidRPr="00441526">
        <w:rPr>
          <w:b/>
          <w:lang w:val="en-NZ" w:eastAsia="ko-KR"/>
        </w:rPr>
        <w:t>/</w:t>
      </w:r>
      <w:r w:rsidR="006802F3" w:rsidRPr="00414B6A">
        <w:rPr>
          <w:b/>
          <w:lang w:val="en-NZ" w:eastAsia="ko-KR"/>
        </w:rPr>
        <w:t>INP-24</w:t>
      </w:r>
    </w:p>
    <w:p w14:paraId="33F1C2D2" w14:textId="595D6747" w:rsidR="006802F3" w:rsidRPr="008F6202" w:rsidRDefault="006802F3" w:rsidP="00C8569D">
      <w:pPr>
        <w:spacing w:before="120"/>
        <w:jc w:val="thaiDistribute"/>
        <w:rPr>
          <w:bCs/>
        </w:rPr>
      </w:pPr>
      <w:r>
        <w:rPr>
          <w:bCs/>
        </w:rPr>
        <w:t>In</w:t>
      </w:r>
      <w:r w:rsidR="003163DE">
        <w:rPr>
          <w:bCs/>
        </w:rPr>
        <w:t xml:space="preserve"> </w:t>
      </w:r>
      <w:r>
        <w:rPr>
          <w:bCs/>
        </w:rPr>
        <w:t>order to</w:t>
      </w:r>
      <w:r w:rsidRPr="008F6202">
        <w:rPr>
          <w:bCs/>
        </w:rPr>
        <w:t xml:space="preserve"> possible harmonization of frequency bands in existing mobile-service allocations for the implementation of evolving ITS</w:t>
      </w:r>
      <w:r>
        <w:rPr>
          <w:bCs/>
        </w:rPr>
        <w:t xml:space="preserve">, Bangladesh administration </w:t>
      </w:r>
      <w:r w:rsidRPr="008F6202">
        <w:rPr>
          <w:bCs/>
        </w:rPr>
        <w:t>supports</w:t>
      </w:r>
      <w:r>
        <w:rPr>
          <w:bCs/>
        </w:rPr>
        <w:t xml:space="preserve"> method A of the CPM report to WRC 2019. </w:t>
      </w:r>
    </w:p>
    <w:p w14:paraId="5CCBCDDA" w14:textId="77777777" w:rsidR="002A0111" w:rsidRDefault="002A0111" w:rsidP="003D3D47">
      <w:pPr>
        <w:jc w:val="both"/>
      </w:pPr>
    </w:p>
    <w:p w14:paraId="11A4FCB0" w14:textId="77777777" w:rsidR="003B18DC" w:rsidRDefault="003B18DC" w:rsidP="00414B6A">
      <w:pPr>
        <w:spacing w:after="120"/>
        <w:jc w:val="both"/>
        <w:rPr>
          <w:b/>
          <w:lang w:val="en-NZ" w:eastAsia="ko-KR"/>
        </w:rPr>
      </w:pPr>
      <w:r w:rsidRPr="00414B6A">
        <w:rPr>
          <w:b/>
          <w:lang w:val="en-NZ" w:eastAsia="ko-KR"/>
        </w:rPr>
        <w:t>3.1.3</w:t>
      </w:r>
      <w:r w:rsidR="009778AA" w:rsidRPr="00414B6A">
        <w:rPr>
          <w:b/>
          <w:lang w:val="en-NZ" w:eastAsia="ko-KR"/>
        </w:rPr>
        <w:tab/>
        <w:t xml:space="preserve">Australia </w:t>
      </w:r>
      <w:r w:rsidR="009778AA">
        <w:rPr>
          <w:b/>
          <w:lang w:val="en-NZ" w:eastAsia="ko-KR"/>
        </w:rPr>
        <w:t xml:space="preserve">- </w:t>
      </w:r>
      <w:r w:rsidR="009778AA" w:rsidRPr="00441526">
        <w:rPr>
          <w:b/>
          <w:lang w:val="en-NZ" w:eastAsia="ko-KR"/>
        </w:rPr>
        <w:t>Document APG19-</w:t>
      </w:r>
      <w:r w:rsidR="009778AA">
        <w:rPr>
          <w:b/>
          <w:lang w:val="en-NZ" w:eastAsia="ko-KR"/>
        </w:rPr>
        <w:t>5</w:t>
      </w:r>
      <w:r w:rsidR="009778AA" w:rsidRPr="00441526">
        <w:rPr>
          <w:b/>
          <w:lang w:val="en-NZ" w:eastAsia="ko-KR"/>
        </w:rPr>
        <w:t>/</w:t>
      </w:r>
      <w:r w:rsidR="009778AA" w:rsidRPr="005B4AD7">
        <w:rPr>
          <w:b/>
          <w:lang w:val="en-NZ" w:eastAsia="ko-KR"/>
        </w:rPr>
        <w:t>INP-</w:t>
      </w:r>
      <w:r w:rsidR="009778AA">
        <w:rPr>
          <w:b/>
          <w:lang w:val="en-NZ" w:eastAsia="ko-KR"/>
        </w:rPr>
        <w:t>42</w:t>
      </w:r>
    </w:p>
    <w:p w14:paraId="017EB346" w14:textId="77777777" w:rsidR="009778AA" w:rsidRDefault="009778AA" w:rsidP="009778AA">
      <w:r w:rsidRPr="00414B6A">
        <w:rPr>
          <w:lang w:val="en-NZ"/>
        </w:rPr>
        <w:t>Australia supports</w:t>
      </w:r>
      <w:r w:rsidRPr="000F6719">
        <w:t xml:space="preserve"> Method A in the CPM Report (no ch</w:t>
      </w:r>
      <w:r>
        <w:t>ange to the Radio Regulations).</w:t>
      </w:r>
    </w:p>
    <w:p w14:paraId="26EA9621" w14:textId="77777777" w:rsidR="009778AA" w:rsidRDefault="009778AA" w:rsidP="00C8569D">
      <w:pPr>
        <w:spacing w:before="120"/>
      </w:pPr>
      <w:r w:rsidRPr="000F6719">
        <w:t xml:space="preserve">Selection of preferred ITS technology is solely a matter for national administrations, is beyond the scope of Resolution </w:t>
      </w:r>
      <w:r w:rsidRPr="000F6719">
        <w:rPr>
          <w:b/>
        </w:rPr>
        <w:t>237 (WRC-15)</w:t>
      </w:r>
      <w:r w:rsidRPr="000F6719">
        <w:t>, and should not be addressed in any Resolution or ITU</w:t>
      </w:r>
      <w:r>
        <w:noBreakHyphen/>
      </w:r>
      <w:r w:rsidRPr="000F6719">
        <w:t>R Recommendation.</w:t>
      </w:r>
    </w:p>
    <w:p w14:paraId="3B51B71B" w14:textId="2228DABB" w:rsidR="009778AA" w:rsidRDefault="009778AA" w:rsidP="00C8569D">
      <w:pPr>
        <w:tabs>
          <w:tab w:val="left" w:pos="600"/>
        </w:tabs>
        <w:spacing w:before="120"/>
      </w:pPr>
      <w:r>
        <w:t>Australia proposes a Preliminary APT Co</w:t>
      </w:r>
      <w:r w:rsidR="00AB1ABD">
        <w:t>mmon Proposal for NOC.</w:t>
      </w:r>
    </w:p>
    <w:p w14:paraId="145BF4B4" w14:textId="77777777" w:rsidR="00AB1ABD" w:rsidRDefault="00AB1ABD" w:rsidP="00C8569D">
      <w:pPr>
        <w:tabs>
          <w:tab w:val="left" w:pos="600"/>
        </w:tabs>
        <w:spacing w:before="120"/>
      </w:pPr>
    </w:p>
    <w:p w14:paraId="6B80868C" w14:textId="77777777" w:rsidR="009778AA" w:rsidRPr="00414B6A" w:rsidRDefault="009778AA" w:rsidP="003D3D47">
      <w:pPr>
        <w:jc w:val="both"/>
      </w:pPr>
    </w:p>
    <w:p w14:paraId="3CB6961B" w14:textId="77777777" w:rsidR="002A0111" w:rsidRDefault="000D00D3" w:rsidP="00414B6A">
      <w:pPr>
        <w:spacing w:after="120"/>
        <w:rPr>
          <w:b/>
          <w:lang w:val="en-NZ" w:eastAsia="ko-KR"/>
        </w:rPr>
      </w:pPr>
      <w:r w:rsidRPr="005B4AD7">
        <w:rPr>
          <w:b/>
          <w:lang w:val="en-NZ" w:eastAsia="ko-KR"/>
        </w:rPr>
        <w:t>3.1.</w:t>
      </w:r>
      <w:r>
        <w:rPr>
          <w:b/>
          <w:lang w:val="en-NZ" w:eastAsia="ko-KR"/>
        </w:rPr>
        <w:t>4</w:t>
      </w:r>
      <w:r w:rsidRPr="005B4AD7">
        <w:rPr>
          <w:b/>
          <w:lang w:val="en-NZ" w:eastAsia="ko-KR"/>
        </w:rPr>
        <w:tab/>
      </w:r>
      <w:r w:rsidRPr="000D00D3">
        <w:rPr>
          <w:b/>
          <w:lang w:val="en-NZ" w:eastAsia="ko-KR"/>
        </w:rPr>
        <w:t>Indonesia (Republic of)</w:t>
      </w:r>
      <w:r w:rsidRPr="005B4AD7">
        <w:rPr>
          <w:b/>
          <w:lang w:val="en-NZ" w:eastAsia="ko-KR"/>
        </w:rPr>
        <w:t xml:space="preserve"> </w:t>
      </w:r>
      <w:r>
        <w:rPr>
          <w:b/>
          <w:lang w:val="en-NZ" w:eastAsia="ko-KR"/>
        </w:rPr>
        <w:t xml:space="preserve">- </w:t>
      </w:r>
      <w:r w:rsidRPr="00441526">
        <w:rPr>
          <w:b/>
          <w:lang w:val="en-NZ" w:eastAsia="ko-KR"/>
        </w:rPr>
        <w:t>Document APG19-</w:t>
      </w:r>
      <w:r>
        <w:rPr>
          <w:b/>
          <w:lang w:val="en-NZ" w:eastAsia="ko-KR"/>
        </w:rPr>
        <w:t>5</w:t>
      </w:r>
      <w:r w:rsidRPr="00441526">
        <w:rPr>
          <w:b/>
          <w:lang w:val="en-NZ" w:eastAsia="ko-KR"/>
        </w:rPr>
        <w:t>/</w:t>
      </w:r>
      <w:r w:rsidRPr="005B4AD7">
        <w:rPr>
          <w:b/>
          <w:lang w:val="en-NZ" w:eastAsia="ko-KR"/>
        </w:rPr>
        <w:t>INP-</w:t>
      </w:r>
      <w:r>
        <w:rPr>
          <w:b/>
          <w:lang w:val="en-NZ" w:eastAsia="ko-KR"/>
        </w:rPr>
        <w:t>49</w:t>
      </w:r>
    </w:p>
    <w:p w14:paraId="43A95D5B" w14:textId="77777777" w:rsidR="000D00D3" w:rsidRDefault="000D00D3" w:rsidP="00414B6A">
      <w:pPr>
        <w:spacing w:afterLines="50" w:after="120"/>
        <w:jc w:val="both"/>
      </w:pPr>
      <w:r>
        <w:rPr>
          <w:rFonts w:eastAsia="SimSun"/>
          <w:lang w:eastAsia="zh-CN"/>
        </w:rPr>
        <w:t xml:space="preserve">Indonesia, </w:t>
      </w:r>
      <w:r>
        <w:t>proposes Views and Proposals for the draft PACP on agenda item 1.12 as follows, for the consideration by APG19-5.</w:t>
      </w:r>
    </w:p>
    <w:p w14:paraId="536F33D7" w14:textId="77777777" w:rsidR="000D00D3" w:rsidRDefault="000D00D3" w:rsidP="000D00D3">
      <w:pPr>
        <w:tabs>
          <w:tab w:val="left" w:pos="567"/>
        </w:tabs>
        <w:spacing w:before="120" w:after="120"/>
        <w:jc w:val="both"/>
        <w:rPr>
          <w:b/>
          <w:lang w:eastAsia="ko-KR"/>
        </w:rPr>
      </w:pPr>
      <w:r w:rsidRPr="005B4AD7">
        <w:rPr>
          <w:b/>
          <w:lang w:val="en-NZ" w:eastAsia="ko-KR"/>
        </w:rPr>
        <w:t>3.1.</w:t>
      </w:r>
      <w:r>
        <w:rPr>
          <w:b/>
          <w:lang w:val="en-NZ" w:eastAsia="ko-KR"/>
        </w:rPr>
        <w:t>4</w:t>
      </w:r>
      <w:r>
        <w:rPr>
          <w:b/>
          <w:lang w:eastAsia="ko-KR"/>
        </w:rPr>
        <w:t>.1 Views</w:t>
      </w:r>
    </w:p>
    <w:p w14:paraId="6C249964" w14:textId="77777777" w:rsidR="000D00D3" w:rsidRDefault="000D00D3" w:rsidP="003163DE">
      <w:pPr>
        <w:autoSpaceDE w:val="0"/>
        <w:autoSpaceDN w:val="0"/>
        <w:adjustRightInd w:val="0"/>
        <w:spacing w:after="120"/>
        <w:jc w:val="both"/>
      </w:pPr>
      <w:r>
        <w:t>Indonesia is of the view that:</w:t>
      </w:r>
    </w:p>
    <w:p w14:paraId="531D8CCF" w14:textId="0708814A" w:rsidR="000D00D3" w:rsidRDefault="000D00D3" w:rsidP="002E19AC">
      <w:pPr>
        <w:pStyle w:val="ListParagraph"/>
        <w:numPr>
          <w:ilvl w:val="0"/>
          <w:numId w:val="23"/>
        </w:numPr>
        <w:spacing w:afterLines="50" w:after="120"/>
        <w:ind w:left="709" w:hanging="709"/>
        <w:jc w:val="both"/>
        <w:rPr>
          <w:rFonts w:eastAsia="Batang"/>
        </w:rPr>
      </w:pPr>
      <w:r>
        <w:rPr>
          <w:b/>
          <w:bCs/>
        </w:rPr>
        <w:t>Method C</w:t>
      </w:r>
      <w:r>
        <w:t xml:space="preserve"> is supported to satisfy Agenda Item 1.12 of WRC-19 which is </w:t>
      </w:r>
      <w:r>
        <w:rPr>
          <w:rFonts w:eastAsia="Batang"/>
        </w:rPr>
        <w:t xml:space="preserve">no change to the Table of Frequency Allocations in the Radio Regulations and add a new WRC Resolution to encourage administrations to use globally and regionally harmonized frequency bands for evolving ITS applications by referring to the most recent version of Recommendation ITU-R M.2121. </w:t>
      </w:r>
      <w:r w:rsidR="003163DE">
        <w:rPr>
          <w:rFonts w:eastAsia="Batang"/>
        </w:rPr>
        <w:t>Consequently,</w:t>
      </w:r>
      <w:r>
        <w:rPr>
          <w:rFonts w:eastAsia="Batang"/>
        </w:rPr>
        <w:t xml:space="preserve"> suppress Resolution 237 (WRC-15);</w:t>
      </w:r>
    </w:p>
    <w:p w14:paraId="2FAFC83A" w14:textId="77777777" w:rsidR="000D00D3" w:rsidRDefault="000D00D3" w:rsidP="002E19AC">
      <w:pPr>
        <w:pStyle w:val="ListParagraph"/>
        <w:numPr>
          <w:ilvl w:val="0"/>
          <w:numId w:val="23"/>
        </w:numPr>
        <w:spacing w:afterLines="50" w:after="120"/>
        <w:ind w:left="709" w:hanging="709"/>
        <w:jc w:val="both"/>
        <w:rPr>
          <w:rFonts w:eastAsia="Malgun Gothic"/>
          <w:color w:val="000000" w:themeColor="text1"/>
          <w:lang w:eastAsia="ko-KR"/>
        </w:rPr>
      </w:pPr>
      <w:r w:rsidRPr="00527E98">
        <w:rPr>
          <w:rFonts w:eastAsia="Malgun Gothic"/>
          <w:color w:val="000000" w:themeColor="text1"/>
          <w:lang w:eastAsia="ko-KR"/>
        </w:rPr>
        <w:t xml:space="preserve">The use of frequency bands by ITS should not impose additional constraints on other primary services to which these frequency bands are already allocated and should take appropriate account of the potential interference from other primary </w:t>
      </w:r>
      <w:r>
        <w:rPr>
          <w:rFonts w:eastAsia="Malgun Gothic"/>
          <w:color w:val="000000" w:themeColor="text1"/>
          <w:lang w:eastAsia="ko-KR"/>
        </w:rPr>
        <w:t>s</w:t>
      </w:r>
      <w:r w:rsidRPr="00527E98">
        <w:rPr>
          <w:rFonts w:eastAsia="Malgun Gothic"/>
          <w:color w:val="000000" w:themeColor="text1"/>
          <w:lang w:eastAsia="ko-KR"/>
        </w:rPr>
        <w:t>ervices, incl</w:t>
      </w:r>
      <w:r>
        <w:rPr>
          <w:rFonts w:eastAsia="Malgun Gothic"/>
          <w:color w:val="000000" w:themeColor="text1"/>
          <w:lang w:eastAsia="ko-KR"/>
        </w:rPr>
        <w:t>uding FSS earth station uplinks;</w:t>
      </w:r>
    </w:p>
    <w:p w14:paraId="05A1298C" w14:textId="77777777" w:rsidR="000D00D3" w:rsidRPr="0038465E" w:rsidRDefault="000D00D3" w:rsidP="002E19AC">
      <w:pPr>
        <w:pStyle w:val="ListParagraph"/>
        <w:numPr>
          <w:ilvl w:val="0"/>
          <w:numId w:val="23"/>
        </w:numPr>
        <w:spacing w:afterLines="50" w:after="120"/>
        <w:ind w:left="709" w:hanging="709"/>
        <w:jc w:val="both"/>
        <w:rPr>
          <w:rFonts w:eastAsia="Malgun Gothic"/>
          <w:color w:val="000000" w:themeColor="text1"/>
          <w:lang w:eastAsia="ko-KR"/>
        </w:rPr>
      </w:pPr>
      <w:r w:rsidRPr="00527E98">
        <w:rPr>
          <w:rFonts w:eastAsia="Malgun Gothic"/>
          <w:color w:val="000000" w:themeColor="text1"/>
          <w:lang w:eastAsia="ko-KR"/>
        </w:rPr>
        <w:t>Evolving ITS should not be restricted to, nor exclude, any particular evolving</w:t>
      </w:r>
      <w:r w:rsidRPr="00527E98" w:rsidDel="00BD4593">
        <w:rPr>
          <w:rFonts w:eastAsia="Malgun Gothic"/>
          <w:color w:val="000000" w:themeColor="text1"/>
          <w:lang w:eastAsia="ko-KR"/>
        </w:rPr>
        <w:t xml:space="preserve"> </w:t>
      </w:r>
      <w:r w:rsidRPr="00527E98">
        <w:rPr>
          <w:rFonts w:eastAsia="Malgun Gothic"/>
          <w:color w:val="000000" w:themeColor="text1"/>
          <w:lang w:eastAsia="ko-KR"/>
        </w:rPr>
        <w:t xml:space="preserve">ITS technology including LTE based V2X </w:t>
      </w:r>
      <w:r>
        <w:rPr>
          <w:rFonts w:eastAsia="Malgun Gothic"/>
          <w:color w:val="000000" w:themeColor="text1"/>
          <w:lang w:eastAsia="ko-KR"/>
        </w:rPr>
        <w:t>and its evolution technologies.</w:t>
      </w:r>
    </w:p>
    <w:p w14:paraId="7470D67B" w14:textId="77777777" w:rsidR="000D00D3" w:rsidRPr="004B0D78" w:rsidRDefault="000D00D3" w:rsidP="000D00D3">
      <w:pPr>
        <w:tabs>
          <w:tab w:val="left" w:pos="567"/>
        </w:tabs>
        <w:spacing w:before="120" w:after="120"/>
        <w:jc w:val="both"/>
        <w:rPr>
          <w:b/>
          <w:lang w:eastAsia="ko-KR"/>
        </w:rPr>
      </w:pPr>
      <w:r w:rsidRPr="005B4AD7">
        <w:rPr>
          <w:b/>
          <w:lang w:val="en-NZ" w:eastAsia="ko-KR"/>
        </w:rPr>
        <w:t>3.1.</w:t>
      </w:r>
      <w:r>
        <w:rPr>
          <w:b/>
          <w:lang w:val="en-NZ" w:eastAsia="ko-KR"/>
        </w:rPr>
        <w:t>4</w:t>
      </w:r>
      <w:r w:rsidRPr="004B0D78">
        <w:rPr>
          <w:b/>
          <w:lang w:eastAsia="ko-KR"/>
        </w:rPr>
        <w:t xml:space="preserve">.2 Proposals </w:t>
      </w:r>
      <w:r>
        <w:rPr>
          <w:b/>
          <w:lang w:eastAsia="ko-KR"/>
        </w:rPr>
        <w:t>for the PACP on Agenda Item 1.12</w:t>
      </w:r>
    </w:p>
    <w:p w14:paraId="27E118CF" w14:textId="34AC8454" w:rsidR="000D00D3" w:rsidRPr="004B0D78" w:rsidRDefault="000D00D3" w:rsidP="003163DE">
      <w:pPr>
        <w:tabs>
          <w:tab w:val="left" w:pos="709"/>
        </w:tabs>
        <w:jc w:val="both"/>
        <w:rPr>
          <w:rFonts w:eastAsia="SimSun"/>
          <w:lang w:eastAsia="zh-CN"/>
        </w:rPr>
      </w:pPr>
      <w:r w:rsidRPr="004B0D78">
        <w:rPr>
          <w:rFonts w:eastAsia="SimSun"/>
          <w:lang w:eastAsia="zh-CN"/>
        </w:rPr>
        <w:t xml:space="preserve">The APT Members support to establish a new WRC-19 Resolution in order to satisfy the </w:t>
      </w:r>
      <w:r>
        <w:rPr>
          <w:rFonts w:eastAsia="SimSun"/>
          <w:lang w:eastAsia="zh-CN"/>
        </w:rPr>
        <w:t>Agenda Item 1.12</w:t>
      </w:r>
      <w:r w:rsidRPr="004B0D78">
        <w:rPr>
          <w:rFonts w:eastAsia="SimSun"/>
          <w:lang w:eastAsia="zh-CN"/>
        </w:rPr>
        <w:t xml:space="preserve"> of WRC-19, for encouraging administrations to use </w:t>
      </w:r>
      <w:r>
        <w:rPr>
          <w:rFonts w:eastAsia="SimSun"/>
          <w:lang w:eastAsia="zh-CN"/>
        </w:rPr>
        <w:t xml:space="preserve">globally and regionally </w:t>
      </w:r>
      <w:r w:rsidRPr="004B0D78">
        <w:rPr>
          <w:rFonts w:eastAsia="SimSun"/>
          <w:lang w:eastAsia="zh-CN"/>
        </w:rPr>
        <w:t xml:space="preserve">harmonized frequency bands for </w:t>
      </w:r>
      <w:r>
        <w:rPr>
          <w:rFonts w:eastAsia="SimSun"/>
          <w:lang w:eastAsia="zh-CN"/>
        </w:rPr>
        <w:t>evolving ITS</w:t>
      </w:r>
      <w:r w:rsidRPr="004B0D78">
        <w:rPr>
          <w:rFonts w:eastAsia="SimSun"/>
          <w:lang w:eastAsia="zh-CN"/>
        </w:rPr>
        <w:t xml:space="preserve"> to the extent possi</w:t>
      </w:r>
      <w:r>
        <w:rPr>
          <w:rFonts w:eastAsia="SimSun"/>
          <w:lang w:eastAsia="zh-CN"/>
        </w:rPr>
        <w:t xml:space="preserve">ble, </w:t>
      </w:r>
      <w:r>
        <w:rPr>
          <w:rFonts w:eastAsia="Batang"/>
        </w:rPr>
        <w:t>by referring to the most recent version of Recommendation ITU-R M.2121</w:t>
      </w:r>
      <w:r w:rsidRPr="004B0D78">
        <w:rPr>
          <w:rFonts w:eastAsia="SimSun"/>
          <w:lang w:eastAsia="zh-CN"/>
        </w:rPr>
        <w:t xml:space="preserve">. </w:t>
      </w:r>
      <w:r w:rsidRPr="00527E98">
        <w:rPr>
          <w:rFonts w:eastAsia="Malgun Gothic"/>
          <w:color w:val="000000" w:themeColor="text1"/>
          <w:lang w:eastAsia="ko-KR"/>
        </w:rPr>
        <w:t xml:space="preserve">The use of frequency bands by ITS should not impose additional constraints on other primary services to which these frequency bands are already allocated and should take appropriate account of the potential interference from other primary </w:t>
      </w:r>
      <w:r>
        <w:rPr>
          <w:rFonts w:eastAsia="Malgun Gothic"/>
          <w:color w:val="000000" w:themeColor="text1"/>
          <w:lang w:eastAsia="ko-KR"/>
        </w:rPr>
        <w:t>s</w:t>
      </w:r>
      <w:r w:rsidRPr="00527E98">
        <w:rPr>
          <w:rFonts w:eastAsia="Malgun Gothic"/>
          <w:color w:val="000000" w:themeColor="text1"/>
          <w:lang w:eastAsia="ko-KR"/>
        </w:rPr>
        <w:t>ervices, incl</w:t>
      </w:r>
      <w:r>
        <w:rPr>
          <w:rFonts w:eastAsia="Malgun Gothic"/>
          <w:color w:val="000000" w:themeColor="text1"/>
          <w:lang w:eastAsia="ko-KR"/>
        </w:rPr>
        <w:t>uding FSS earth station uplinks</w:t>
      </w:r>
      <w:r w:rsidRPr="004B0D78">
        <w:rPr>
          <w:rFonts w:eastAsia="SimSun"/>
          <w:lang w:eastAsia="zh-CN"/>
        </w:rPr>
        <w:t>. The</w:t>
      </w:r>
      <w:r w:rsidRPr="004B0D78">
        <w:rPr>
          <w:rFonts w:eastAsia="SimSun" w:hint="eastAsia"/>
          <w:lang w:eastAsia="zh-CN"/>
        </w:rPr>
        <w:t xml:space="preserve"> </w:t>
      </w:r>
      <w:r w:rsidRPr="004B0D78">
        <w:rPr>
          <w:rFonts w:eastAsia="SimSun"/>
          <w:lang w:eastAsia="zh-CN"/>
        </w:rPr>
        <w:t>current and future ITU</w:t>
      </w:r>
      <w:r w:rsidRPr="004B0D78">
        <w:rPr>
          <w:rFonts w:eastAsia="SimSun" w:hint="eastAsia"/>
          <w:lang w:eastAsia="zh-CN"/>
        </w:rPr>
        <w:t>-</w:t>
      </w:r>
      <w:r w:rsidRPr="004B0D78">
        <w:rPr>
          <w:rFonts w:eastAsia="SimSun"/>
          <w:lang w:eastAsia="zh-CN"/>
        </w:rPr>
        <w:t xml:space="preserve">R studies on </w:t>
      </w:r>
      <w:r>
        <w:rPr>
          <w:rFonts w:eastAsia="SimSun"/>
          <w:lang w:eastAsia="zh-CN"/>
        </w:rPr>
        <w:t>evolving ITS</w:t>
      </w:r>
      <w:r w:rsidRPr="004B0D78">
        <w:rPr>
          <w:rFonts w:eastAsia="SimSun"/>
          <w:lang w:eastAsia="zh-CN"/>
        </w:rPr>
        <w:t xml:space="preserve"> should not be restricted to, </w:t>
      </w:r>
      <w:r>
        <w:rPr>
          <w:rFonts w:eastAsia="SimSun"/>
          <w:lang w:eastAsia="zh-CN"/>
        </w:rPr>
        <w:t>n</w:t>
      </w:r>
      <w:r w:rsidRPr="004B0D78">
        <w:rPr>
          <w:rFonts w:eastAsia="SimSun"/>
          <w:lang w:eastAsia="zh-CN"/>
        </w:rPr>
        <w:t xml:space="preserve">or </w:t>
      </w:r>
      <w:r>
        <w:rPr>
          <w:rFonts w:eastAsia="SimSun"/>
          <w:lang w:eastAsia="zh-CN"/>
        </w:rPr>
        <w:t>exclude</w:t>
      </w:r>
      <w:r w:rsidRPr="004B0D78">
        <w:rPr>
          <w:rFonts w:eastAsia="SimSun"/>
          <w:lang w:eastAsia="zh-CN"/>
        </w:rPr>
        <w:t xml:space="preserve">, </w:t>
      </w:r>
      <w:r w:rsidRPr="00527E98">
        <w:rPr>
          <w:rFonts w:eastAsia="Malgun Gothic"/>
          <w:color w:val="000000" w:themeColor="text1"/>
          <w:lang w:eastAsia="ko-KR"/>
        </w:rPr>
        <w:t>any particular evolving</w:t>
      </w:r>
      <w:r w:rsidRPr="00527E98" w:rsidDel="00BD4593">
        <w:rPr>
          <w:rFonts w:eastAsia="Malgun Gothic"/>
          <w:color w:val="000000" w:themeColor="text1"/>
          <w:lang w:eastAsia="ko-KR"/>
        </w:rPr>
        <w:t xml:space="preserve"> </w:t>
      </w:r>
      <w:r w:rsidRPr="00527E98">
        <w:rPr>
          <w:rFonts w:eastAsia="Malgun Gothic"/>
          <w:color w:val="000000" w:themeColor="text1"/>
          <w:lang w:eastAsia="ko-KR"/>
        </w:rPr>
        <w:t xml:space="preserve">ITS technology including LTE based V2X </w:t>
      </w:r>
      <w:r>
        <w:rPr>
          <w:rFonts w:eastAsia="Malgun Gothic"/>
          <w:color w:val="000000" w:themeColor="text1"/>
          <w:lang w:eastAsia="ko-KR"/>
        </w:rPr>
        <w:t>and its evolution technologies</w:t>
      </w:r>
      <w:r w:rsidRPr="004B0D78">
        <w:rPr>
          <w:rFonts w:eastAsia="SimSun"/>
          <w:lang w:eastAsia="zh-CN"/>
        </w:rPr>
        <w:t>.</w:t>
      </w:r>
    </w:p>
    <w:p w14:paraId="018174E0" w14:textId="77777777" w:rsidR="000D00D3" w:rsidRPr="00414B6A" w:rsidRDefault="000D00D3" w:rsidP="002A0111"/>
    <w:p w14:paraId="5E6D6747" w14:textId="77777777" w:rsidR="00156E6A" w:rsidRDefault="00156E6A" w:rsidP="00156E6A">
      <w:pPr>
        <w:spacing w:after="120"/>
        <w:rPr>
          <w:b/>
          <w:lang w:val="en-NZ" w:eastAsia="ko-KR"/>
        </w:rPr>
      </w:pPr>
      <w:r w:rsidRPr="005B4AD7">
        <w:rPr>
          <w:b/>
          <w:lang w:val="en-NZ" w:eastAsia="ko-KR"/>
        </w:rPr>
        <w:t>3.1.</w:t>
      </w:r>
      <w:r>
        <w:rPr>
          <w:b/>
          <w:lang w:val="en-NZ" w:eastAsia="ko-KR"/>
        </w:rPr>
        <w:t>5</w:t>
      </w:r>
      <w:r w:rsidRPr="005B4AD7">
        <w:rPr>
          <w:b/>
          <w:lang w:val="en-NZ" w:eastAsia="ko-KR"/>
        </w:rPr>
        <w:tab/>
      </w:r>
      <w:r w:rsidRPr="00156E6A">
        <w:rPr>
          <w:b/>
          <w:lang w:val="en-NZ" w:eastAsia="ko-KR"/>
        </w:rPr>
        <w:t>Japan, People’s Republic of China and Malaysia</w:t>
      </w:r>
      <w:r w:rsidRPr="005B4AD7">
        <w:rPr>
          <w:b/>
          <w:lang w:val="en-NZ" w:eastAsia="ko-KR"/>
        </w:rPr>
        <w:t xml:space="preserve"> </w:t>
      </w:r>
      <w:r>
        <w:rPr>
          <w:b/>
          <w:lang w:val="en-NZ" w:eastAsia="ko-KR"/>
        </w:rPr>
        <w:t xml:space="preserve">- </w:t>
      </w:r>
      <w:r w:rsidRPr="00441526">
        <w:rPr>
          <w:b/>
          <w:lang w:val="en-NZ" w:eastAsia="ko-KR"/>
        </w:rPr>
        <w:t>Document APG19-</w:t>
      </w:r>
      <w:r>
        <w:rPr>
          <w:b/>
          <w:lang w:val="en-NZ" w:eastAsia="ko-KR"/>
        </w:rPr>
        <w:t>5</w:t>
      </w:r>
      <w:r w:rsidRPr="00441526">
        <w:rPr>
          <w:b/>
          <w:lang w:val="en-NZ" w:eastAsia="ko-KR"/>
        </w:rPr>
        <w:t>/</w:t>
      </w:r>
      <w:r w:rsidRPr="005B4AD7">
        <w:rPr>
          <w:b/>
          <w:lang w:val="en-NZ" w:eastAsia="ko-KR"/>
        </w:rPr>
        <w:t>INP-</w:t>
      </w:r>
      <w:r>
        <w:rPr>
          <w:b/>
          <w:lang w:val="en-NZ" w:eastAsia="ko-KR"/>
        </w:rPr>
        <w:t>75</w:t>
      </w:r>
    </w:p>
    <w:p w14:paraId="261FE796" w14:textId="77777777" w:rsidR="008853F9" w:rsidRDefault="008853F9" w:rsidP="008853F9">
      <w:r w:rsidRPr="00E244D4">
        <w:t>Japan</w:t>
      </w:r>
      <w:r w:rsidRPr="005D0F93">
        <w:t xml:space="preserve">, China </w:t>
      </w:r>
      <w:r w:rsidRPr="00227562">
        <w:t>and Malaysia</w:t>
      </w:r>
      <w:r w:rsidRPr="00E244D4">
        <w:t xml:space="preserve"> </w:t>
      </w:r>
      <w:r>
        <w:t xml:space="preserve">support to add </w:t>
      </w:r>
      <w:r w:rsidRPr="00F87621">
        <w:t xml:space="preserve">a new WRC Resolution to encourage administrations to </w:t>
      </w:r>
      <w:r>
        <w:t>seek</w:t>
      </w:r>
      <w:r w:rsidRPr="00F87621">
        <w:t xml:space="preserve"> globally and regionally harmonized frequency bands for evolving ITS applications</w:t>
      </w:r>
      <w:r>
        <w:t xml:space="preserve"> in order to accelerate the development of ITS systems and technologies to fully realize the development of connected and automated vehicles driving</w:t>
      </w:r>
      <w:r w:rsidRPr="00F87621">
        <w:t xml:space="preserve"> by referring to the most recent version of Recommendation ITU-R M.2121</w:t>
      </w:r>
      <w:r>
        <w:t xml:space="preserve"> without </w:t>
      </w:r>
      <w:r w:rsidRPr="00F87621">
        <w:t>chang</w:t>
      </w:r>
      <w:r>
        <w:t>ing</w:t>
      </w:r>
      <w:r w:rsidRPr="00F87621">
        <w:t xml:space="preserve"> the Table of Frequency Allocations in the Radio Regulations</w:t>
      </w:r>
      <w:r>
        <w:t>.</w:t>
      </w:r>
      <w:r w:rsidRPr="00F87621">
        <w:t xml:space="preserve"> </w:t>
      </w:r>
    </w:p>
    <w:p w14:paraId="11FA3D33" w14:textId="0F185CCB" w:rsidR="000D00D3" w:rsidRDefault="008853F9" w:rsidP="003163DE">
      <w:pPr>
        <w:tabs>
          <w:tab w:val="left" w:pos="600"/>
        </w:tabs>
        <w:spacing w:before="120"/>
        <w:rPr>
          <w:lang w:val="en-NZ"/>
        </w:rPr>
      </w:pPr>
      <w:r>
        <w:rPr>
          <w:rFonts w:eastAsiaTheme="minorEastAsia"/>
          <w:lang w:eastAsia="ja-JP"/>
        </w:rPr>
        <w:t>Japan</w:t>
      </w:r>
      <w:r w:rsidRPr="005D0F93">
        <w:t xml:space="preserve">, China </w:t>
      </w:r>
      <w:r w:rsidRPr="00227562">
        <w:t>and Malaysia</w:t>
      </w:r>
      <w:r>
        <w:rPr>
          <w:rFonts w:eastAsiaTheme="minorEastAsia"/>
          <w:lang w:eastAsia="ja-JP"/>
        </w:rPr>
        <w:t xml:space="preserve"> </w:t>
      </w:r>
      <w:r>
        <w:rPr>
          <w:rFonts w:eastAsiaTheme="minorEastAsia" w:hint="eastAsia"/>
          <w:lang w:eastAsia="ja-JP"/>
        </w:rPr>
        <w:t>a</w:t>
      </w:r>
      <w:r>
        <w:rPr>
          <w:rFonts w:eastAsiaTheme="minorEastAsia"/>
          <w:lang w:eastAsia="ja-JP"/>
        </w:rPr>
        <w:t xml:space="preserve">re of the view that Method C of the CPM Report with associated Resolution will achieve future global or regional harmonized frequency for ITS applications. </w:t>
      </w:r>
      <w:r>
        <w:rPr>
          <w:rFonts w:eastAsiaTheme="minorEastAsia" w:hint="eastAsia"/>
          <w:lang w:eastAsia="ja-JP"/>
        </w:rPr>
        <w:t>N</w:t>
      </w:r>
      <w:r>
        <w:rPr>
          <w:rFonts w:eastAsiaTheme="minorEastAsia"/>
          <w:lang w:eastAsia="ja-JP"/>
        </w:rPr>
        <w:t xml:space="preserve">o change in the RR Article </w:t>
      </w:r>
      <w:r w:rsidRPr="00A67E5F">
        <w:rPr>
          <w:rFonts w:eastAsiaTheme="minorEastAsia"/>
          <w:b/>
          <w:bCs/>
          <w:lang w:eastAsia="ja-JP"/>
        </w:rPr>
        <w:t>5</w:t>
      </w:r>
      <w:r>
        <w:rPr>
          <w:rFonts w:eastAsiaTheme="minorEastAsia"/>
          <w:lang w:eastAsia="ja-JP"/>
        </w:rPr>
        <w:t xml:space="preserve"> and suppression of Resolution </w:t>
      </w:r>
      <w:r w:rsidRPr="00A67E5F">
        <w:rPr>
          <w:rFonts w:eastAsiaTheme="minorEastAsia"/>
          <w:b/>
          <w:bCs/>
          <w:lang w:eastAsia="ja-JP"/>
        </w:rPr>
        <w:t>237 (WRC-15)</w:t>
      </w:r>
      <w:r>
        <w:rPr>
          <w:rFonts w:eastAsiaTheme="minorEastAsia"/>
          <w:lang w:eastAsia="ja-JP"/>
        </w:rPr>
        <w:t>.</w:t>
      </w:r>
      <w:r>
        <w:rPr>
          <w:rFonts w:eastAsiaTheme="minorEastAsia"/>
          <w:lang w:eastAsia="ja-JP"/>
        </w:rPr>
        <w:br/>
      </w:r>
    </w:p>
    <w:p w14:paraId="480A90D0" w14:textId="77777777" w:rsidR="00DA5E63" w:rsidRDefault="00DA5E63" w:rsidP="00DA5E63">
      <w:pPr>
        <w:spacing w:after="120"/>
        <w:rPr>
          <w:b/>
          <w:lang w:val="en-NZ" w:eastAsia="ko-KR"/>
        </w:rPr>
      </w:pPr>
      <w:r w:rsidRPr="005B4AD7">
        <w:rPr>
          <w:b/>
          <w:lang w:val="en-NZ" w:eastAsia="ko-KR"/>
        </w:rPr>
        <w:t>3.1.</w:t>
      </w:r>
      <w:r>
        <w:rPr>
          <w:b/>
          <w:lang w:val="en-NZ" w:eastAsia="ko-KR"/>
        </w:rPr>
        <w:t>6</w:t>
      </w:r>
      <w:r w:rsidRPr="005B4AD7">
        <w:rPr>
          <w:b/>
          <w:lang w:val="en-NZ" w:eastAsia="ko-KR"/>
        </w:rPr>
        <w:tab/>
      </w:r>
      <w:r w:rsidR="001F60EF">
        <w:rPr>
          <w:b/>
          <w:lang w:val="en-NZ" w:eastAsia="ko-KR"/>
        </w:rPr>
        <w:t>Thailand</w:t>
      </w:r>
      <w:r w:rsidRPr="005B4AD7">
        <w:rPr>
          <w:b/>
          <w:lang w:val="en-NZ" w:eastAsia="ko-KR"/>
        </w:rPr>
        <w:t xml:space="preserve"> </w:t>
      </w:r>
      <w:r>
        <w:rPr>
          <w:b/>
          <w:lang w:val="en-NZ" w:eastAsia="ko-KR"/>
        </w:rPr>
        <w:t xml:space="preserve">- </w:t>
      </w:r>
      <w:r w:rsidRPr="00441526">
        <w:rPr>
          <w:b/>
          <w:lang w:val="en-NZ" w:eastAsia="ko-KR"/>
        </w:rPr>
        <w:t>Document APG19-</w:t>
      </w:r>
      <w:r>
        <w:rPr>
          <w:b/>
          <w:lang w:val="en-NZ" w:eastAsia="ko-KR"/>
        </w:rPr>
        <w:t>5</w:t>
      </w:r>
      <w:r w:rsidRPr="00441526">
        <w:rPr>
          <w:b/>
          <w:lang w:val="en-NZ" w:eastAsia="ko-KR"/>
        </w:rPr>
        <w:t>/</w:t>
      </w:r>
      <w:r w:rsidRPr="005B4AD7">
        <w:rPr>
          <w:b/>
          <w:lang w:val="en-NZ" w:eastAsia="ko-KR"/>
        </w:rPr>
        <w:t>INP-</w:t>
      </w:r>
      <w:r w:rsidR="001F60EF">
        <w:rPr>
          <w:b/>
          <w:lang w:val="en-NZ" w:eastAsia="ko-KR"/>
        </w:rPr>
        <w:t>102</w:t>
      </w:r>
    </w:p>
    <w:p w14:paraId="586259BF" w14:textId="77777777" w:rsidR="001F60EF" w:rsidRPr="004D7986" w:rsidRDefault="001F60EF" w:rsidP="001F60EF">
      <w:pPr>
        <w:pStyle w:val="Default"/>
        <w:spacing w:before="120"/>
        <w:jc w:val="both"/>
      </w:pPr>
      <w:r w:rsidRPr="004D7986">
        <w:t xml:space="preserve">Thailand supports harmonization of frequency bands in existing mobile service allocations for the implementation of evolving ITS through ITU-R Recommendations (including Recommendation ITU-R M.2121) and/or Reports without the need to change the Radio Regulations. Therefore, Thailand supports Method A of the CPM report. </w:t>
      </w:r>
    </w:p>
    <w:p w14:paraId="5019DA97" w14:textId="77777777" w:rsidR="001F60EF" w:rsidRDefault="001F60EF" w:rsidP="001F60EF">
      <w:pPr>
        <w:pStyle w:val="Default"/>
        <w:spacing w:before="120"/>
        <w:jc w:val="both"/>
      </w:pPr>
      <w:r w:rsidRPr="004D7986">
        <w:t xml:space="preserve">Thailand is also of the view that the use of frequency bands by ITS should not impose additional constraints on other primary services to which these frequency bands are already </w:t>
      </w:r>
      <w:r w:rsidRPr="004D7986">
        <w:lastRenderedPageBreak/>
        <w:t>allocated and should take appropriate account of the potential interference from other primary services, including FSS earth station uplinks.</w:t>
      </w:r>
    </w:p>
    <w:p w14:paraId="0AE3A368" w14:textId="77777777" w:rsidR="001F60EF" w:rsidRDefault="001F60EF" w:rsidP="00DA5E63">
      <w:pPr>
        <w:spacing w:after="120"/>
        <w:rPr>
          <w:b/>
          <w:lang w:eastAsia="ko-KR"/>
        </w:rPr>
      </w:pPr>
    </w:p>
    <w:p w14:paraId="5A008A5F" w14:textId="77777777" w:rsidR="00571EE6" w:rsidRDefault="00571EE6" w:rsidP="00571EE6">
      <w:pPr>
        <w:spacing w:after="120"/>
        <w:rPr>
          <w:b/>
          <w:lang w:val="en-NZ" w:eastAsia="ko-KR"/>
        </w:rPr>
      </w:pPr>
      <w:r w:rsidRPr="005B4AD7">
        <w:rPr>
          <w:b/>
          <w:lang w:val="en-NZ" w:eastAsia="ko-KR"/>
        </w:rPr>
        <w:t>3.1.</w:t>
      </w:r>
      <w:r>
        <w:rPr>
          <w:b/>
          <w:lang w:val="en-NZ" w:eastAsia="ko-KR"/>
        </w:rPr>
        <w:t>7</w:t>
      </w:r>
      <w:r w:rsidRPr="005B4AD7">
        <w:rPr>
          <w:b/>
          <w:lang w:val="en-NZ" w:eastAsia="ko-KR"/>
        </w:rPr>
        <w:tab/>
      </w:r>
      <w:r w:rsidRPr="00571EE6">
        <w:rPr>
          <w:b/>
          <w:lang w:val="en-NZ" w:eastAsia="ko-KR"/>
        </w:rPr>
        <w:t>India (Republic of)</w:t>
      </w:r>
      <w:r w:rsidRPr="005B4AD7">
        <w:rPr>
          <w:b/>
          <w:lang w:val="en-NZ" w:eastAsia="ko-KR"/>
        </w:rPr>
        <w:t xml:space="preserve"> </w:t>
      </w:r>
      <w:r>
        <w:rPr>
          <w:b/>
          <w:lang w:val="en-NZ" w:eastAsia="ko-KR"/>
        </w:rPr>
        <w:t xml:space="preserve">- </w:t>
      </w:r>
      <w:r w:rsidRPr="00441526">
        <w:rPr>
          <w:b/>
          <w:lang w:val="en-NZ" w:eastAsia="ko-KR"/>
        </w:rPr>
        <w:t>Document APG19-</w:t>
      </w:r>
      <w:r>
        <w:rPr>
          <w:b/>
          <w:lang w:val="en-NZ" w:eastAsia="ko-KR"/>
        </w:rPr>
        <w:t>5</w:t>
      </w:r>
      <w:r w:rsidRPr="00441526">
        <w:rPr>
          <w:b/>
          <w:lang w:val="en-NZ" w:eastAsia="ko-KR"/>
        </w:rPr>
        <w:t>/</w:t>
      </w:r>
      <w:r w:rsidRPr="005B4AD7">
        <w:rPr>
          <w:b/>
          <w:lang w:val="en-NZ" w:eastAsia="ko-KR"/>
        </w:rPr>
        <w:t>INP-</w:t>
      </w:r>
      <w:r>
        <w:rPr>
          <w:b/>
          <w:lang w:val="en-NZ" w:eastAsia="ko-KR"/>
        </w:rPr>
        <w:t>133</w:t>
      </w:r>
    </w:p>
    <w:p w14:paraId="61C94430" w14:textId="77777777" w:rsidR="00571EE6" w:rsidRDefault="00571EE6" w:rsidP="00571EE6">
      <w:pPr>
        <w:jc w:val="both"/>
        <w:rPr>
          <w:lang w:val="en-NZ"/>
        </w:rPr>
      </w:pPr>
      <w:r>
        <w:rPr>
          <w:lang w:val="en-NZ"/>
        </w:rPr>
        <w:t>India</w:t>
      </w:r>
      <w:r w:rsidRPr="00AE1279">
        <w:rPr>
          <w:lang w:val="en-NZ"/>
        </w:rPr>
        <w:t xml:space="preserve"> is of the view that the new generation of co-operative ITS should operate within those frequency bands that are already being adopted for ITS use on a regional (or sub-regional) basis within existing mobile service allocations, or an immediately adjacent frequency band that is also appropriate for such use. For this reason, </w:t>
      </w:r>
      <w:r>
        <w:rPr>
          <w:lang w:val="en-NZ"/>
        </w:rPr>
        <w:t>India</w:t>
      </w:r>
      <w:r w:rsidRPr="00AE1279">
        <w:rPr>
          <w:lang w:val="en-NZ"/>
        </w:rPr>
        <w:t xml:space="preserve"> supports the use of the frequency band 5 850-5 925 MHz, or parts thereof, when deploying ITS applications. </w:t>
      </w:r>
    </w:p>
    <w:p w14:paraId="08079844" w14:textId="77777777" w:rsidR="00571EE6" w:rsidRPr="00414B6A" w:rsidRDefault="00571EE6" w:rsidP="00C8569D">
      <w:pPr>
        <w:spacing w:before="120" w:after="120"/>
        <w:rPr>
          <w:b/>
          <w:lang w:eastAsia="ko-KR"/>
        </w:rPr>
      </w:pPr>
      <w:r w:rsidRPr="00AE1279">
        <w:rPr>
          <w:lang w:val="en-NZ"/>
        </w:rPr>
        <w:t xml:space="preserve">Therefore, </w:t>
      </w:r>
      <w:r>
        <w:rPr>
          <w:lang w:val="en-NZ"/>
        </w:rPr>
        <w:t>India supports Method B</w:t>
      </w:r>
      <w:r w:rsidRPr="00AE1279">
        <w:rPr>
          <w:lang w:val="en-NZ"/>
        </w:rPr>
        <w:t xml:space="preserve"> as outlined in the CPM text for WRC-19 Agenda item 1.12</w:t>
      </w:r>
      <w:r>
        <w:rPr>
          <w:lang w:val="en-NZ"/>
        </w:rPr>
        <w:t>.</w:t>
      </w:r>
    </w:p>
    <w:p w14:paraId="26692566" w14:textId="77777777" w:rsidR="00156E6A" w:rsidRPr="00441526" w:rsidRDefault="00156E6A" w:rsidP="002A0111">
      <w:pPr>
        <w:rPr>
          <w:lang w:val="en-NZ"/>
        </w:rPr>
      </w:pPr>
    </w:p>
    <w:p w14:paraId="2ACC7DFB"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5357D42" w14:textId="187D4226" w:rsidR="00236BAE" w:rsidRDefault="00236BAE" w:rsidP="00C8569D">
      <w:pPr>
        <w:jc w:val="both"/>
        <w:rPr>
          <w:rStyle w:val="fontstyle01"/>
          <w:rFonts w:hint="eastAsia"/>
          <w:i w:val="0"/>
          <w:iCs w:val="0"/>
        </w:rPr>
      </w:pPr>
      <w:r>
        <w:t xml:space="preserve">Some APT Members are of the view that </w:t>
      </w:r>
      <w:r w:rsidR="000926C2">
        <w:t>harmonization of spectrum use for ITS</w:t>
      </w:r>
      <w:r w:rsidR="000926C2" w:rsidRPr="00A802E0">
        <w:t xml:space="preserve"> </w:t>
      </w:r>
      <w:r w:rsidR="000926C2">
        <w:t xml:space="preserve">can be achieved through ITU-R </w:t>
      </w:r>
      <w:r w:rsidRPr="00A802E0">
        <w:t>Recommendation</w:t>
      </w:r>
      <w:r w:rsidR="000926C2">
        <w:t>s and Reports</w:t>
      </w:r>
      <w:r w:rsidRPr="00A802E0">
        <w:t xml:space="preserve"> </w:t>
      </w:r>
      <w:r w:rsidR="000926C2">
        <w:t xml:space="preserve">(such as </w:t>
      </w:r>
      <w:r w:rsidR="000926C2" w:rsidRPr="00A802E0">
        <w:t>Recommendation</w:t>
      </w:r>
      <w:r w:rsidR="000926C2">
        <w:t xml:space="preserve"> </w:t>
      </w:r>
      <w:r w:rsidRPr="00A802E0">
        <w:t>ITU-R M.2121</w:t>
      </w:r>
      <w:r w:rsidR="000926C2">
        <w:t>)</w:t>
      </w:r>
      <w:r w:rsidR="00B26640">
        <w:t>.</w:t>
      </w:r>
    </w:p>
    <w:p w14:paraId="30132FCF" w14:textId="17F947E8" w:rsidR="00B26640" w:rsidRDefault="00B26640" w:rsidP="00C8569D">
      <w:pPr>
        <w:spacing w:before="120"/>
        <w:jc w:val="both"/>
      </w:pPr>
      <w:r>
        <w:t xml:space="preserve">Some APT Members support </w:t>
      </w:r>
      <w:r w:rsidRPr="00C8569D">
        <w:rPr>
          <w:rStyle w:val="fontstyle01"/>
          <w:rFonts w:hint="eastAsia"/>
          <w:i w:val="0"/>
          <w:iCs w:val="0"/>
          <w:color w:val="auto"/>
          <w:sz w:val="24"/>
          <w:szCs w:val="24"/>
        </w:rPr>
        <w:t xml:space="preserve">a new WRC Resolution to </w:t>
      </w:r>
      <w:r w:rsidRPr="00A802E0">
        <w:t xml:space="preserve">encourage administrations to </w:t>
      </w:r>
      <w:r w:rsidR="000926C2">
        <w:t>ensure</w:t>
      </w:r>
      <w:r w:rsidRPr="00A802E0">
        <w:t xml:space="preserve"> </w:t>
      </w:r>
      <w:r w:rsidR="000926C2" w:rsidRPr="00A802E0">
        <w:t xml:space="preserve">regionally and </w:t>
      </w:r>
      <w:r w:rsidRPr="00A802E0">
        <w:t xml:space="preserve">globally harmonized frequency bands </w:t>
      </w:r>
      <w:r w:rsidR="000926C2">
        <w:t xml:space="preserve">are used </w:t>
      </w:r>
      <w:r w:rsidRPr="00A802E0">
        <w:t>for evolving ITS applications</w:t>
      </w:r>
      <w:r w:rsidR="000926C2">
        <w:t>,</w:t>
      </w:r>
      <w:r w:rsidRPr="00A802E0">
        <w:t xml:space="preserve"> by referring to the most recent version of Recommendation ITU-R M.2121</w:t>
      </w:r>
      <w:r>
        <w:t xml:space="preserve">. </w:t>
      </w:r>
    </w:p>
    <w:p w14:paraId="6B1DE214" w14:textId="5F0A401E" w:rsidR="003318DC" w:rsidRPr="00C8569D" w:rsidRDefault="003318DC" w:rsidP="003D3D47">
      <w:pPr>
        <w:jc w:val="both"/>
        <w:rPr>
          <w:rFonts w:eastAsia="MS Mincho"/>
          <w:lang w:eastAsia="ja-JP"/>
        </w:rPr>
      </w:pPr>
    </w:p>
    <w:p w14:paraId="12E8DE18"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14:paraId="40DF0707" w14:textId="06D8970D" w:rsidR="00725432" w:rsidRDefault="00671B8E" w:rsidP="003163DE">
      <w:pPr>
        <w:spacing w:before="120"/>
        <w:jc w:val="both"/>
      </w:pPr>
      <w:r>
        <w:t xml:space="preserve">1. APT Members are of the view that there are needs for harmonization of spectrum use </w:t>
      </w:r>
      <w:r w:rsidRPr="009A72E9">
        <w:t>in existing mobile</w:t>
      </w:r>
      <w:r>
        <w:t xml:space="preserve"> </w:t>
      </w:r>
      <w:r w:rsidRPr="009A72E9">
        <w:t>service allocations</w:t>
      </w:r>
      <w:r>
        <w:t xml:space="preserve"> for evolving ITS.  </w:t>
      </w:r>
      <w:r w:rsidR="00725432" w:rsidRPr="009A72E9">
        <w:t>APT Members support possible harmonization of frequency bands in existing mobile</w:t>
      </w:r>
      <w:r w:rsidR="00725432">
        <w:t xml:space="preserve"> </w:t>
      </w:r>
      <w:r w:rsidR="00725432" w:rsidRPr="009A72E9">
        <w:t>service allocations for the implementation of evolving ITS</w:t>
      </w:r>
      <w:r w:rsidR="00725432" w:rsidRPr="00DC7E3A">
        <w:t>.</w:t>
      </w:r>
      <w:r w:rsidR="00725432">
        <w:t xml:space="preserve"> </w:t>
      </w:r>
      <w:r w:rsidR="00725432" w:rsidRPr="003163DE">
        <w:t xml:space="preserve">APT Members support the consideration of the frequency band 5 850-5 925 MHz, or parts thereof, as global harmonized frequency band </w:t>
      </w:r>
      <w:r w:rsidR="00725432">
        <w:t>for evolving ITS</w:t>
      </w:r>
      <w:r w:rsidR="00725432" w:rsidRPr="003163DE">
        <w:t xml:space="preserve">. </w:t>
      </w:r>
      <w:r w:rsidR="00725432">
        <w:t xml:space="preserve">APT Members also support </w:t>
      </w:r>
      <w:r w:rsidR="00725432" w:rsidRPr="003163DE">
        <w:t xml:space="preserve">the consideration of </w:t>
      </w:r>
      <w:r w:rsidR="00725432">
        <w:t xml:space="preserve">examples of ITS frequency bands in current use, as listed in the Annex of </w:t>
      </w:r>
      <w:r w:rsidR="00725432" w:rsidRPr="00527E98">
        <w:t>Recommendation ITU-R M.</w:t>
      </w:r>
      <w:r>
        <w:t xml:space="preserve">2121 </w:t>
      </w:r>
      <w:r w:rsidR="00725432">
        <w:t>for regional harmonized ITS frequency bands.</w:t>
      </w:r>
    </w:p>
    <w:p w14:paraId="471D6F49" w14:textId="3E277583" w:rsidR="00725432" w:rsidRDefault="00C3523C" w:rsidP="003163DE">
      <w:pPr>
        <w:spacing w:before="120"/>
        <w:jc w:val="both"/>
      </w:pPr>
      <w:r>
        <w:t>2. APT Members agreed that n</w:t>
      </w:r>
      <w:r w:rsidRPr="00A802E0">
        <w:t>o change</w:t>
      </w:r>
      <w:r>
        <w:t>s</w:t>
      </w:r>
      <w:r w:rsidRPr="00A802E0">
        <w:t xml:space="preserve"> </w:t>
      </w:r>
      <w:r>
        <w:t xml:space="preserve">to </w:t>
      </w:r>
      <w:r w:rsidRPr="00A802E0">
        <w:t>the Table of Frequency Allocations</w:t>
      </w:r>
      <w:r>
        <w:t xml:space="preserve"> are required for harmonization of spectrum use for ITS. </w:t>
      </w:r>
    </w:p>
    <w:p w14:paraId="5B1257E1" w14:textId="486AB9F7" w:rsidR="00725432" w:rsidRPr="00C8569D" w:rsidRDefault="00C3523C" w:rsidP="003163DE">
      <w:pPr>
        <w:spacing w:before="120"/>
        <w:jc w:val="both"/>
      </w:pPr>
      <w:r>
        <w:t xml:space="preserve">3. </w:t>
      </w:r>
      <w:r w:rsidR="00725432" w:rsidRPr="009A72E9">
        <w:t>APT Members are also of the view that</w:t>
      </w:r>
      <w:r w:rsidRPr="00C8569D">
        <w:t xml:space="preserve"> e</w:t>
      </w:r>
      <w:r w:rsidR="00725432" w:rsidRPr="00C8569D">
        <w:t>volving ITS should not be restricted to, nor exclude, any particular evolving</w:t>
      </w:r>
      <w:r w:rsidR="00725432" w:rsidRPr="00C8569D" w:rsidDel="00BD4593">
        <w:t xml:space="preserve"> </w:t>
      </w:r>
      <w:r w:rsidR="00725432" w:rsidRPr="00C8569D">
        <w:t xml:space="preserve">ITS technology including LTE based V2X and its evolution technologies. </w:t>
      </w:r>
    </w:p>
    <w:p w14:paraId="281C7078" w14:textId="77777777" w:rsidR="002B3154" w:rsidRDefault="00C3523C" w:rsidP="003163DE">
      <w:pPr>
        <w:spacing w:before="120"/>
        <w:jc w:val="both"/>
      </w:pPr>
      <w:r>
        <w:t xml:space="preserve">4. </w:t>
      </w:r>
      <w:r w:rsidRPr="009A72E9">
        <w:t>APT Members are also of the view that</w:t>
      </w:r>
      <w:r w:rsidRPr="00C8569D">
        <w:t xml:space="preserve"> t</w:t>
      </w:r>
      <w:r w:rsidR="00725432" w:rsidRPr="00C8569D">
        <w:t xml:space="preserve">he use of frequency bands by </w:t>
      </w:r>
      <w:proofErr w:type="gramStart"/>
      <w:r w:rsidR="00725432" w:rsidRPr="00C8569D">
        <w:t>ITS</w:t>
      </w:r>
      <w:proofErr w:type="gramEnd"/>
      <w:r w:rsidR="00725432" w:rsidRPr="00C8569D">
        <w:t xml:space="preserve"> should </w:t>
      </w:r>
      <w:r w:rsidR="00A969E5" w:rsidRPr="00C8569D">
        <w:t>not adversely</w:t>
      </w:r>
      <w:r w:rsidR="006430B0">
        <w:t xml:space="preserve"> affect</w:t>
      </w:r>
      <w:r w:rsidR="00725432" w:rsidRPr="00C8569D">
        <w:t xml:space="preserve"> other primary services to which these frequency bands are allocated </w:t>
      </w:r>
      <w:r w:rsidR="006430B0">
        <w:t xml:space="preserve">should not claim protection from other primary services </w:t>
      </w:r>
      <w:r w:rsidR="00725432" w:rsidRPr="00C8569D">
        <w:t>including FSS earth station uplinks.</w:t>
      </w:r>
    </w:p>
    <w:p w14:paraId="69C23CD6" w14:textId="1A43C4D6" w:rsidR="00725432" w:rsidRPr="00C8569D" w:rsidRDefault="00BD4631" w:rsidP="003163DE">
      <w:pPr>
        <w:spacing w:before="120"/>
        <w:jc w:val="both"/>
      </w:pPr>
      <w:r>
        <w:t xml:space="preserve">5. </w:t>
      </w:r>
      <w:r w:rsidR="00C3523C">
        <w:t xml:space="preserve">APT Members support the suppression of </w:t>
      </w:r>
      <w:r w:rsidR="00C3523C" w:rsidRPr="00527E98">
        <w:t xml:space="preserve">Resolution </w:t>
      </w:r>
      <w:r w:rsidR="00C3523C" w:rsidRPr="003163DE">
        <w:rPr>
          <w:b/>
          <w:bCs/>
        </w:rPr>
        <w:t>237</w:t>
      </w:r>
      <w:r w:rsidR="00C3523C" w:rsidRPr="003163DE">
        <w:t xml:space="preserve"> (</w:t>
      </w:r>
      <w:r w:rsidR="00C3523C" w:rsidRPr="003163DE">
        <w:rPr>
          <w:b/>
          <w:bCs/>
        </w:rPr>
        <w:t>WRC-15</w:t>
      </w:r>
      <w:r w:rsidR="00C3523C" w:rsidRPr="003163DE">
        <w:t>).</w:t>
      </w:r>
    </w:p>
    <w:p w14:paraId="062F7180" w14:textId="1FA20A7A" w:rsidR="00870B0B" w:rsidRPr="00C8569D" w:rsidRDefault="00870B0B" w:rsidP="00C8569D">
      <w:pPr>
        <w:spacing w:before="120"/>
        <w:ind w:firstLine="720"/>
      </w:pPr>
    </w:p>
    <w:p w14:paraId="211278E2" w14:textId="77777777" w:rsidR="002A0111" w:rsidRPr="00441526" w:rsidRDefault="002A0111" w:rsidP="002A0111">
      <w:pPr>
        <w:rPr>
          <w:lang w:val="en-NZ"/>
        </w:rPr>
      </w:pPr>
    </w:p>
    <w:p w14:paraId="5CB42AED" w14:textId="77777777"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14:paraId="1218A33A" w14:textId="77777777" w:rsidR="00A969E5" w:rsidRPr="00441526" w:rsidRDefault="00A969E5" w:rsidP="002A0111">
      <w:pPr>
        <w:spacing w:after="120"/>
        <w:jc w:val="both"/>
        <w:rPr>
          <w:b/>
          <w:lang w:val="en-NZ" w:eastAsia="ko-KR"/>
        </w:rPr>
      </w:pPr>
    </w:p>
    <w:p w14:paraId="4C5AE81C" w14:textId="77859A5F" w:rsidR="004579BE" w:rsidRPr="00C8569D" w:rsidRDefault="003D6EFC">
      <w:pPr>
        <w:rPr>
          <w:rFonts w:eastAsia="MS Mincho"/>
          <w:b/>
          <w:lang w:val="en-NZ" w:eastAsia="ja-JP"/>
        </w:rPr>
      </w:pPr>
      <w:r w:rsidRPr="003163DE" w:rsidDel="003D6EFC">
        <w:rPr>
          <w:i/>
          <w:iCs/>
          <w:lang w:val="en-NZ"/>
        </w:rPr>
        <w:t xml:space="preserve"> </w:t>
      </w:r>
      <w:bookmarkStart w:id="0" w:name="_GoBack"/>
      <w:bookmarkStart w:id="1" w:name="_MON_1626356069"/>
      <w:bookmarkEnd w:id="1"/>
      <w:r w:rsidR="00AB1ABD" w:rsidRPr="00C8569D">
        <w:rPr>
          <w:rFonts w:eastAsia="MS Mincho"/>
          <w:b/>
          <w:lang w:val="en-NZ" w:eastAsia="ja-JP"/>
        </w:rPr>
        <w:object w:dxaOrig="1088" w:dyaOrig="704" w14:anchorId="06E0E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11" o:title=""/>
          </v:shape>
          <o:OLEObject Type="Embed" ProgID="Word.Document.12" ShapeID="_x0000_i1025" DrawAspect="Icon" ObjectID="_1627127142" r:id="rId12">
            <o:FieldCodes>\s</o:FieldCodes>
          </o:OLEObject>
        </w:object>
      </w:r>
      <w:bookmarkEnd w:id="0"/>
    </w:p>
    <w:sectPr w:rsidR="004579BE" w:rsidRPr="00C8569D" w:rsidSect="00C516C7">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A9D3E" w14:textId="77777777" w:rsidR="008C243D" w:rsidRDefault="008C243D">
      <w:r>
        <w:separator/>
      </w:r>
    </w:p>
  </w:endnote>
  <w:endnote w:type="continuationSeparator" w:id="0">
    <w:p w14:paraId="55ECFE69" w14:textId="77777777" w:rsidR="008C243D" w:rsidRDefault="008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803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6C965"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39FC" w14:textId="426896A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8944AE">
      <w:rPr>
        <w:lang w:eastAsia="ko-KR"/>
      </w:rPr>
      <w:t>OUT-27</w:t>
    </w:r>
    <w:r w:rsidR="00BA08D2">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B1ABD">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B1ABD">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B060A0D" w14:textId="77777777" w:rsidTr="00BB0EA4">
      <w:trPr>
        <w:trHeight w:val="432"/>
      </w:trPr>
      <w:tc>
        <w:tcPr>
          <w:tcW w:w="1296" w:type="dxa"/>
          <w:tcBorders>
            <w:top w:val="single" w:sz="8" w:space="0" w:color="auto"/>
            <w:bottom w:val="nil"/>
            <w:right w:val="nil"/>
          </w:tcBorders>
        </w:tcPr>
        <w:p w14:paraId="23C5923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D877C7B" w14:textId="77777777" w:rsidR="0092727B" w:rsidRDefault="002A0111" w:rsidP="0092727B">
          <w:pPr>
            <w:pStyle w:val="Footer"/>
            <w:tabs>
              <w:tab w:val="clear" w:pos="4320"/>
              <w:tab w:val="clear" w:pos="8640"/>
            </w:tabs>
          </w:pPr>
          <w:r>
            <w:t>Name of the DG/WP Chairman</w:t>
          </w:r>
        </w:p>
        <w:p w14:paraId="01BF6A7B" w14:textId="77777777" w:rsidR="002A0111" w:rsidRPr="002A0111" w:rsidRDefault="002A0111" w:rsidP="0092727B">
          <w:pPr>
            <w:pStyle w:val="Footer"/>
            <w:tabs>
              <w:tab w:val="clear" w:pos="4320"/>
              <w:tab w:val="clear" w:pos="8640"/>
            </w:tabs>
          </w:pPr>
          <w:r>
            <w:t>Chairman, DG AI1.x/WP x</w:t>
          </w:r>
        </w:p>
      </w:tc>
      <w:tc>
        <w:tcPr>
          <w:tcW w:w="2880" w:type="dxa"/>
          <w:tcBorders>
            <w:top w:val="single" w:sz="8" w:space="0" w:color="auto"/>
            <w:left w:val="nil"/>
            <w:bottom w:val="nil"/>
          </w:tcBorders>
        </w:tcPr>
        <w:p w14:paraId="2764A476" w14:textId="77777777" w:rsidR="0092727B" w:rsidRPr="0092727B" w:rsidRDefault="0092727B" w:rsidP="0092727B">
          <w:pPr>
            <w:pStyle w:val="Footer"/>
            <w:tabs>
              <w:tab w:val="clear" w:pos="4320"/>
              <w:tab w:val="clear" w:pos="8640"/>
            </w:tabs>
          </w:pPr>
          <w:r>
            <w:t>E-mail:</w:t>
          </w:r>
        </w:p>
      </w:tc>
    </w:tr>
  </w:tbl>
  <w:p w14:paraId="11BC74A2"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067B2" w14:textId="77777777" w:rsidR="008C243D" w:rsidRDefault="008C243D">
      <w:r>
        <w:separator/>
      </w:r>
    </w:p>
  </w:footnote>
  <w:footnote w:type="continuationSeparator" w:id="0">
    <w:p w14:paraId="7147DF28" w14:textId="77777777" w:rsidR="008C243D" w:rsidRDefault="008C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6787" w14:textId="77777777" w:rsidR="0097693B" w:rsidRDefault="0097693B" w:rsidP="0092727B">
    <w:pPr>
      <w:pStyle w:val="Header"/>
      <w:tabs>
        <w:tab w:val="clear" w:pos="4320"/>
        <w:tab w:val="clear" w:pos="8640"/>
      </w:tabs>
      <w:rPr>
        <w:lang w:eastAsia="ko-KR"/>
      </w:rPr>
    </w:pPr>
  </w:p>
  <w:p w14:paraId="231F7F4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018F"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0E5444"/>
    <w:multiLevelType w:val="hybridMultilevel"/>
    <w:tmpl w:val="56A8D1E6"/>
    <w:lvl w:ilvl="0" w:tplc="B78AB8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D48773E"/>
    <w:multiLevelType w:val="hybridMultilevel"/>
    <w:tmpl w:val="F1504300"/>
    <w:lvl w:ilvl="0" w:tplc="2D9AF566">
      <w:start w:val="1"/>
      <w:numFmt w:val="decimal"/>
      <w:lvlText w:val="(%1)"/>
      <w:lvlJc w:val="left"/>
      <w:pPr>
        <w:ind w:left="420" w:hanging="420"/>
      </w:pPr>
    </w:lvl>
    <w:lvl w:ilvl="1" w:tplc="D90E906C">
      <w:start w:val="1"/>
      <w:numFmt w:val="decimal"/>
      <w:lvlText w:val="%2"/>
      <w:lvlJc w:val="left"/>
      <w:pPr>
        <w:ind w:left="1140" w:hanging="7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1BF4FBA"/>
    <w:multiLevelType w:val="hybridMultilevel"/>
    <w:tmpl w:val="64080B80"/>
    <w:lvl w:ilvl="0" w:tplc="158E2672">
      <w:start w:val="4"/>
      <w:numFmt w:val="decimal"/>
      <w:lvlText w:val="%1."/>
      <w:lvlJc w:val="left"/>
      <w:pPr>
        <w:ind w:left="720" w:hanging="360"/>
      </w:pPr>
      <w:rPr>
        <w:rFonts w:eastAsia="BatangCh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nsid w:val="327149BC"/>
    <w:multiLevelType w:val="hybridMultilevel"/>
    <w:tmpl w:val="DB4A65DC"/>
    <w:lvl w:ilvl="0" w:tplc="8FF082C2">
      <w:start w:val="5"/>
      <w:numFmt w:val="decimal"/>
      <w:lvlText w:val="%1."/>
      <w:lvlJc w:val="left"/>
      <w:pPr>
        <w:ind w:left="720" w:hanging="360"/>
      </w:pPr>
      <w:rPr>
        <w:rFonts w:eastAsia="BatangCh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nsid w:val="4AEA4AD4"/>
    <w:multiLevelType w:val="hybridMultilevel"/>
    <w:tmpl w:val="23DA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2602C7C"/>
    <w:multiLevelType w:val="hybridMultilevel"/>
    <w:tmpl w:val="35E29E0A"/>
    <w:lvl w:ilvl="0" w:tplc="52564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9"/>
  </w:num>
  <w:num w:numId="3">
    <w:abstractNumId w:val="8"/>
  </w:num>
  <w:num w:numId="4">
    <w:abstractNumId w:val="21"/>
  </w:num>
  <w:num w:numId="5">
    <w:abstractNumId w:val="12"/>
  </w:num>
  <w:num w:numId="6">
    <w:abstractNumId w:val="15"/>
  </w:num>
  <w:num w:numId="7">
    <w:abstractNumId w:val="4"/>
  </w:num>
  <w:num w:numId="8">
    <w:abstractNumId w:val="2"/>
  </w:num>
  <w:num w:numId="9">
    <w:abstractNumId w:val="25"/>
  </w:num>
  <w:num w:numId="10">
    <w:abstractNumId w:val="20"/>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19"/>
  </w:num>
  <w:num w:numId="18">
    <w:abstractNumId w:val="16"/>
  </w:num>
  <w:num w:numId="19">
    <w:abstractNumId w:val="24"/>
  </w:num>
  <w:num w:numId="20">
    <w:abstractNumId w:val="11"/>
  </w:num>
  <w:num w:numId="21">
    <w:abstractNumId w:val="23"/>
  </w:num>
  <w:num w:numId="22">
    <w:abstractNumId w:val="27"/>
  </w:num>
  <w:num w:numId="23">
    <w:abstractNumId w:val="3"/>
  </w:num>
  <w:num w:numId="24">
    <w:abstractNumId w:val="5"/>
  </w:num>
  <w:num w:numId="25">
    <w:abstractNumId w:val="17"/>
  </w:num>
  <w:num w:numId="26">
    <w:abstractNumId w:val="22"/>
  </w:num>
  <w:num w:numId="27">
    <w:abstractNumId w:val="1"/>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163B1"/>
    <w:rsid w:val="0003595B"/>
    <w:rsid w:val="00036517"/>
    <w:rsid w:val="00036CC9"/>
    <w:rsid w:val="00040149"/>
    <w:rsid w:val="0006467B"/>
    <w:rsid w:val="00070642"/>
    <w:rsid w:val="000713CF"/>
    <w:rsid w:val="00075C14"/>
    <w:rsid w:val="000822B5"/>
    <w:rsid w:val="000926C2"/>
    <w:rsid w:val="00094B87"/>
    <w:rsid w:val="000A012B"/>
    <w:rsid w:val="000A5418"/>
    <w:rsid w:val="000A5931"/>
    <w:rsid w:val="000A67E1"/>
    <w:rsid w:val="000B0FFB"/>
    <w:rsid w:val="000B1CC8"/>
    <w:rsid w:val="000D00D3"/>
    <w:rsid w:val="000D47FB"/>
    <w:rsid w:val="000F345F"/>
    <w:rsid w:val="000F517C"/>
    <w:rsid w:val="000F5540"/>
    <w:rsid w:val="000F7D6C"/>
    <w:rsid w:val="00105F1A"/>
    <w:rsid w:val="0011183F"/>
    <w:rsid w:val="00112AA1"/>
    <w:rsid w:val="00125FBD"/>
    <w:rsid w:val="001409B2"/>
    <w:rsid w:val="00152636"/>
    <w:rsid w:val="001539DD"/>
    <w:rsid w:val="00155395"/>
    <w:rsid w:val="00156782"/>
    <w:rsid w:val="00156E6A"/>
    <w:rsid w:val="00165846"/>
    <w:rsid w:val="00165F01"/>
    <w:rsid w:val="001731F4"/>
    <w:rsid w:val="0017401A"/>
    <w:rsid w:val="00182EB6"/>
    <w:rsid w:val="001916F2"/>
    <w:rsid w:val="001930A7"/>
    <w:rsid w:val="00196568"/>
    <w:rsid w:val="00197C18"/>
    <w:rsid w:val="001A2F16"/>
    <w:rsid w:val="001A717C"/>
    <w:rsid w:val="001B1804"/>
    <w:rsid w:val="001B18C2"/>
    <w:rsid w:val="001B560D"/>
    <w:rsid w:val="001C443F"/>
    <w:rsid w:val="001C61A5"/>
    <w:rsid w:val="001C6707"/>
    <w:rsid w:val="001D5D7E"/>
    <w:rsid w:val="001E4857"/>
    <w:rsid w:val="001F2AAF"/>
    <w:rsid w:val="001F5947"/>
    <w:rsid w:val="001F60EF"/>
    <w:rsid w:val="00202410"/>
    <w:rsid w:val="00203887"/>
    <w:rsid w:val="00214A0C"/>
    <w:rsid w:val="00214EC5"/>
    <w:rsid w:val="0021588B"/>
    <w:rsid w:val="002161B6"/>
    <w:rsid w:val="002216AC"/>
    <w:rsid w:val="0023212E"/>
    <w:rsid w:val="00235F60"/>
    <w:rsid w:val="00236BAE"/>
    <w:rsid w:val="002475E2"/>
    <w:rsid w:val="002506D2"/>
    <w:rsid w:val="00250DE2"/>
    <w:rsid w:val="00254A1B"/>
    <w:rsid w:val="0026064A"/>
    <w:rsid w:val="00264566"/>
    <w:rsid w:val="00273FC6"/>
    <w:rsid w:val="0028454D"/>
    <w:rsid w:val="00291C9E"/>
    <w:rsid w:val="002926D4"/>
    <w:rsid w:val="0029734E"/>
    <w:rsid w:val="002A0111"/>
    <w:rsid w:val="002A3CF5"/>
    <w:rsid w:val="002A6A06"/>
    <w:rsid w:val="002B06A3"/>
    <w:rsid w:val="002B3154"/>
    <w:rsid w:val="002B435C"/>
    <w:rsid w:val="002B447F"/>
    <w:rsid w:val="002C07DA"/>
    <w:rsid w:val="002C0810"/>
    <w:rsid w:val="002C2A49"/>
    <w:rsid w:val="002C7EA9"/>
    <w:rsid w:val="002E19AC"/>
    <w:rsid w:val="002E5BDE"/>
    <w:rsid w:val="002F575D"/>
    <w:rsid w:val="00301EB0"/>
    <w:rsid w:val="00306FA8"/>
    <w:rsid w:val="003113D7"/>
    <w:rsid w:val="00311E8A"/>
    <w:rsid w:val="003163DE"/>
    <w:rsid w:val="003318DC"/>
    <w:rsid w:val="00332802"/>
    <w:rsid w:val="00332A6F"/>
    <w:rsid w:val="00342F20"/>
    <w:rsid w:val="00360377"/>
    <w:rsid w:val="00366548"/>
    <w:rsid w:val="0038005B"/>
    <w:rsid w:val="003809C7"/>
    <w:rsid w:val="0038236C"/>
    <w:rsid w:val="0039297C"/>
    <w:rsid w:val="00393DCD"/>
    <w:rsid w:val="00395B40"/>
    <w:rsid w:val="003A2006"/>
    <w:rsid w:val="003A284A"/>
    <w:rsid w:val="003A6568"/>
    <w:rsid w:val="003B18DC"/>
    <w:rsid w:val="003B4FD1"/>
    <w:rsid w:val="003B6263"/>
    <w:rsid w:val="003C29E6"/>
    <w:rsid w:val="003C64A7"/>
    <w:rsid w:val="003D1128"/>
    <w:rsid w:val="003D1671"/>
    <w:rsid w:val="003D3D47"/>
    <w:rsid w:val="003D3FDA"/>
    <w:rsid w:val="003D6D00"/>
    <w:rsid w:val="003D6EFC"/>
    <w:rsid w:val="003E166F"/>
    <w:rsid w:val="003E172C"/>
    <w:rsid w:val="003F307E"/>
    <w:rsid w:val="004001E5"/>
    <w:rsid w:val="0041313C"/>
    <w:rsid w:val="00414B6A"/>
    <w:rsid w:val="00420822"/>
    <w:rsid w:val="00420C74"/>
    <w:rsid w:val="00441526"/>
    <w:rsid w:val="00445A03"/>
    <w:rsid w:val="004465AA"/>
    <w:rsid w:val="00446A5E"/>
    <w:rsid w:val="004505F0"/>
    <w:rsid w:val="0045458F"/>
    <w:rsid w:val="004579BE"/>
    <w:rsid w:val="004633B4"/>
    <w:rsid w:val="004811DC"/>
    <w:rsid w:val="00495CED"/>
    <w:rsid w:val="004A29EE"/>
    <w:rsid w:val="004A2F96"/>
    <w:rsid w:val="004A4BDF"/>
    <w:rsid w:val="004B3553"/>
    <w:rsid w:val="004B3F4B"/>
    <w:rsid w:val="004C23A3"/>
    <w:rsid w:val="004D4ED6"/>
    <w:rsid w:val="004D6D81"/>
    <w:rsid w:val="004E1FCA"/>
    <w:rsid w:val="004E47D6"/>
    <w:rsid w:val="004F477A"/>
    <w:rsid w:val="00503189"/>
    <w:rsid w:val="00504750"/>
    <w:rsid w:val="00516BD1"/>
    <w:rsid w:val="005206E9"/>
    <w:rsid w:val="0052356A"/>
    <w:rsid w:val="00526D01"/>
    <w:rsid w:val="00527BD8"/>
    <w:rsid w:val="00530E8C"/>
    <w:rsid w:val="00535D34"/>
    <w:rsid w:val="00545933"/>
    <w:rsid w:val="005471A5"/>
    <w:rsid w:val="005501A6"/>
    <w:rsid w:val="00552105"/>
    <w:rsid w:val="005562F2"/>
    <w:rsid w:val="00557544"/>
    <w:rsid w:val="00565BBB"/>
    <w:rsid w:val="00571EE6"/>
    <w:rsid w:val="005811B6"/>
    <w:rsid w:val="0058410A"/>
    <w:rsid w:val="00585F3C"/>
    <w:rsid w:val="00586CA0"/>
    <w:rsid w:val="00587875"/>
    <w:rsid w:val="005A63EB"/>
    <w:rsid w:val="005A747E"/>
    <w:rsid w:val="005B0876"/>
    <w:rsid w:val="005C33B6"/>
    <w:rsid w:val="005D6202"/>
    <w:rsid w:val="005D6E98"/>
    <w:rsid w:val="005F11CD"/>
    <w:rsid w:val="00607E2B"/>
    <w:rsid w:val="006139D6"/>
    <w:rsid w:val="00616D1B"/>
    <w:rsid w:val="006235E6"/>
    <w:rsid w:val="00623CE1"/>
    <w:rsid w:val="00627880"/>
    <w:rsid w:val="0063062B"/>
    <w:rsid w:val="00634A82"/>
    <w:rsid w:val="00637351"/>
    <w:rsid w:val="006430B0"/>
    <w:rsid w:val="0064598D"/>
    <w:rsid w:val="00646166"/>
    <w:rsid w:val="00654896"/>
    <w:rsid w:val="006621F0"/>
    <w:rsid w:val="006647BA"/>
    <w:rsid w:val="00666E42"/>
    <w:rsid w:val="00667229"/>
    <w:rsid w:val="00671B8E"/>
    <w:rsid w:val="006802F3"/>
    <w:rsid w:val="00682BE5"/>
    <w:rsid w:val="00683846"/>
    <w:rsid w:val="00684547"/>
    <w:rsid w:val="00690FED"/>
    <w:rsid w:val="006939A5"/>
    <w:rsid w:val="00695F69"/>
    <w:rsid w:val="006A2C47"/>
    <w:rsid w:val="006B610A"/>
    <w:rsid w:val="006C3C1E"/>
    <w:rsid w:val="006D5223"/>
    <w:rsid w:val="006D5970"/>
    <w:rsid w:val="006E12FC"/>
    <w:rsid w:val="006E202C"/>
    <w:rsid w:val="006F0F24"/>
    <w:rsid w:val="006F2B2E"/>
    <w:rsid w:val="006F6A5C"/>
    <w:rsid w:val="006F6FC1"/>
    <w:rsid w:val="006F7150"/>
    <w:rsid w:val="0070095F"/>
    <w:rsid w:val="0070129B"/>
    <w:rsid w:val="00703F6F"/>
    <w:rsid w:val="007052B3"/>
    <w:rsid w:val="00705962"/>
    <w:rsid w:val="00707C21"/>
    <w:rsid w:val="00712451"/>
    <w:rsid w:val="00717DE9"/>
    <w:rsid w:val="0072518B"/>
    <w:rsid w:val="00725432"/>
    <w:rsid w:val="00731041"/>
    <w:rsid w:val="007329E4"/>
    <w:rsid w:val="00732F08"/>
    <w:rsid w:val="007342F0"/>
    <w:rsid w:val="0074190C"/>
    <w:rsid w:val="00745588"/>
    <w:rsid w:val="0075493D"/>
    <w:rsid w:val="00762576"/>
    <w:rsid w:val="007661EC"/>
    <w:rsid w:val="007673CA"/>
    <w:rsid w:val="0076780A"/>
    <w:rsid w:val="00767C81"/>
    <w:rsid w:val="007736E1"/>
    <w:rsid w:val="00791060"/>
    <w:rsid w:val="007926EA"/>
    <w:rsid w:val="007B25BB"/>
    <w:rsid w:val="007B5626"/>
    <w:rsid w:val="007B6124"/>
    <w:rsid w:val="007C1A61"/>
    <w:rsid w:val="007D3C53"/>
    <w:rsid w:val="007E07F1"/>
    <w:rsid w:val="007E3A0F"/>
    <w:rsid w:val="007F2628"/>
    <w:rsid w:val="007F2FBA"/>
    <w:rsid w:val="007F32F9"/>
    <w:rsid w:val="00800C3A"/>
    <w:rsid w:val="0080570B"/>
    <w:rsid w:val="008148E1"/>
    <w:rsid w:val="00826D7F"/>
    <w:rsid w:val="0083153F"/>
    <w:rsid w:val="008319BF"/>
    <w:rsid w:val="00837EC8"/>
    <w:rsid w:val="008415F0"/>
    <w:rsid w:val="008429FC"/>
    <w:rsid w:val="008433C2"/>
    <w:rsid w:val="00844457"/>
    <w:rsid w:val="008454C8"/>
    <w:rsid w:val="00851D78"/>
    <w:rsid w:val="008649F3"/>
    <w:rsid w:val="00866CC1"/>
    <w:rsid w:val="00870B0B"/>
    <w:rsid w:val="008853F9"/>
    <w:rsid w:val="008944AE"/>
    <w:rsid w:val="008A016F"/>
    <w:rsid w:val="008A1A0D"/>
    <w:rsid w:val="008A2046"/>
    <w:rsid w:val="008A72E1"/>
    <w:rsid w:val="008A76ED"/>
    <w:rsid w:val="008B3C72"/>
    <w:rsid w:val="008C243D"/>
    <w:rsid w:val="008C5FED"/>
    <w:rsid w:val="008D0E09"/>
    <w:rsid w:val="008D4BC0"/>
    <w:rsid w:val="008E7026"/>
    <w:rsid w:val="008F617E"/>
    <w:rsid w:val="00903007"/>
    <w:rsid w:val="00910F03"/>
    <w:rsid w:val="00923816"/>
    <w:rsid w:val="0092727B"/>
    <w:rsid w:val="0093074B"/>
    <w:rsid w:val="00930E64"/>
    <w:rsid w:val="00943CF9"/>
    <w:rsid w:val="009465A6"/>
    <w:rsid w:val="00953846"/>
    <w:rsid w:val="0095572D"/>
    <w:rsid w:val="00956F8C"/>
    <w:rsid w:val="00961D57"/>
    <w:rsid w:val="00964831"/>
    <w:rsid w:val="00976716"/>
    <w:rsid w:val="0097693B"/>
    <w:rsid w:val="009778AA"/>
    <w:rsid w:val="00986020"/>
    <w:rsid w:val="00993355"/>
    <w:rsid w:val="009963F7"/>
    <w:rsid w:val="009A11CB"/>
    <w:rsid w:val="009A4A6D"/>
    <w:rsid w:val="009B44DD"/>
    <w:rsid w:val="009B6128"/>
    <w:rsid w:val="009B6BD5"/>
    <w:rsid w:val="009B7E42"/>
    <w:rsid w:val="009C7235"/>
    <w:rsid w:val="009D46CE"/>
    <w:rsid w:val="009D4ADA"/>
    <w:rsid w:val="009D69C6"/>
    <w:rsid w:val="009E13DD"/>
    <w:rsid w:val="009E3518"/>
    <w:rsid w:val="009F36DA"/>
    <w:rsid w:val="009F547A"/>
    <w:rsid w:val="00A00524"/>
    <w:rsid w:val="00A01A79"/>
    <w:rsid w:val="00A03D78"/>
    <w:rsid w:val="00A0503B"/>
    <w:rsid w:val="00A059CD"/>
    <w:rsid w:val="00A106EE"/>
    <w:rsid w:val="00A10BEF"/>
    <w:rsid w:val="00A13265"/>
    <w:rsid w:val="00A14900"/>
    <w:rsid w:val="00A156D6"/>
    <w:rsid w:val="00A2159F"/>
    <w:rsid w:val="00A324FF"/>
    <w:rsid w:val="00A529BC"/>
    <w:rsid w:val="00A5346C"/>
    <w:rsid w:val="00A5378E"/>
    <w:rsid w:val="00A53F51"/>
    <w:rsid w:val="00A562F0"/>
    <w:rsid w:val="00A564FB"/>
    <w:rsid w:val="00A614C1"/>
    <w:rsid w:val="00A61EA6"/>
    <w:rsid w:val="00A657BF"/>
    <w:rsid w:val="00A71136"/>
    <w:rsid w:val="00A92578"/>
    <w:rsid w:val="00A969E5"/>
    <w:rsid w:val="00AA0FB9"/>
    <w:rsid w:val="00AA3922"/>
    <w:rsid w:val="00AA474C"/>
    <w:rsid w:val="00AA4925"/>
    <w:rsid w:val="00AB1ABD"/>
    <w:rsid w:val="00AC0448"/>
    <w:rsid w:val="00AC35EF"/>
    <w:rsid w:val="00AC4D5B"/>
    <w:rsid w:val="00AD1DDB"/>
    <w:rsid w:val="00AD2697"/>
    <w:rsid w:val="00AD7E5F"/>
    <w:rsid w:val="00AE3066"/>
    <w:rsid w:val="00AF68E4"/>
    <w:rsid w:val="00B00A87"/>
    <w:rsid w:val="00B01AA1"/>
    <w:rsid w:val="00B023E0"/>
    <w:rsid w:val="00B06025"/>
    <w:rsid w:val="00B26640"/>
    <w:rsid w:val="00B306C7"/>
    <w:rsid w:val="00B30C81"/>
    <w:rsid w:val="00B30DA1"/>
    <w:rsid w:val="00B35DC4"/>
    <w:rsid w:val="00B362F5"/>
    <w:rsid w:val="00B4793B"/>
    <w:rsid w:val="00B56099"/>
    <w:rsid w:val="00B570E2"/>
    <w:rsid w:val="00B57D77"/>
    <w:rsid w:val="00B64A60"/>
    <w:rsid w:val="00B661AC"/>
    <w:rsid w:val="00B8468D"/>
    <w:rsid w:val="00B92B45"/>
    <w:rsid w:val="00B937D7"/>
    <w:rsid w:val="00B96B67"/>
    <w:rsid w:val="00BA08D2"/>
    <w:rsid w:val="00BB0EA4"/>
    <w:rsid w:val="00BC57EF"/>
    <w:rsid w:val="00BC69DB"/>
    <w:rsid w:val="00BD4631"/>
    <w:rsid w:val="00BE6B6B"/>
    <w:rsid w:val="00BF2403"/>
    <w:rsid w:val="00BF25F9"/>
    <w:rsid w:val="00C00B04"/>
    <w:rsid w:val="00C13FD5"/>
    <w:rsid w:val="00C15633"/>
    <w:rsid w:val="00C15799"/>
    <w:rsid w:val="00C31970"/>
    <w:rsid w:val="00C32E84"/>
    <w:rsid w:val="00C34067"/>
    <w:rsid w:val="00C3523C"/>
    <w:rsid w:val="00C35415"/>
    <w:rsid w:val="00C357AD"/>
    <w:rsid w:val="00C516C7"/>
    <w:rsid w:val="00C51C5F"/>
    <w:rsid w:val="00C554CC"/>
    <w:rsid w:val="00C6069C"/>
    <w:rsid w:val="00C62B87"/>
    <w:rsid w:val="00C66C4D"/>
    <w:rsid w:val="00C70477"/>
    <w:rsid w:val="00C74745"/>
    <w:rsid w:val="00C85119"/>
    <w:rsid w:val="00C8569D"/>
    <w:rsid w:val="00C91B87"/>
    <w:rsid w:val="00C92A6E"/>
    <w:rsid w:val="00C95572"/>
    <w:rsid w:val="00C95C48"/>
    <w:rsid w:val="00C95EB7"/>
    <w:rsid w:val="00CA2534"/>
    <w:rsid w:val="00CA41E7"/>
    <w:rsid w:val="00CC6C14"/>
    <w:rsid w:val="00CD170C"/>
    <w:rsid w:val="00CD256B"/>
    <w:rsid w:val="00CD320B"/>
    <w:rsid w:val="00CD3F37"/>
    <w:rsid w:val="00CD5431"/>
    <w:rsid w:val="00CE4B93"/>
    <w:rsid w:val="00CF02CF"/>
    <w:rsid w:val="00CF2491"/>
    <w:rsid w:val="00CF3963"/>
    <w:rsid w:val="00D00828"/>
    <w:rsid w:val="00D01316"/>
    <w:rsid w:val="00D06A1C"/>
    <w:rsid w:val="00D1252E"/>
    <w:rsid w:val="00D13D9D"/>
    <w:rsid w:val="00D14AFE"/>
    <w:rsid w:val="00D2073C"/>
    <w:rsid w:val="00D416A3"/>
    <w:rsid w:val="00D459A2"/>
    <w:rsid w:val="00D530FF"/>
    <w:rsid w:val="00D53688"/>
    <w:rsid w:val="00D5407A"/>
    <w:rsid w:val="00D57772"/>
    <w:rsid w:val="00D667EE"/>
    <w:rsid w:val="00D710C6"/>
    <w:rsid w:val="00D72AE3"/>
    <w:rsid w:val="00D75A4D"/>
    <w:rsid w:val="00D76C8E"/>
    <w:rsid w:val="00D80DB5"/>
    <w:rsid w:val="00D8478B"/>
    <w:rsid w:val="00D86151"/>
    <w:rsid w:val="00D9172D"/>
    <w:rsid w:val="00D97E84"/>
    <w:rsid w:val="00DA5641"/>
    <w:rsid w:val="00DA5E63"/>
    <w:rsid w:val="00DA7595"/>
    <w:rsid w:val="00DB0A68"/>
    <w:rsid w:val="00DC43A3"/>
    <w:rsid w:val="00DC4CF3"/>
    <w:rsid w:val="00DC5C01"/>
    <w:rsid w:val="00DD7C09"/>
    <w:rsid w:val="00DF0EB4"/>
    <w:rsid w:val="00DF111E"/>
    <w:rsid w:val="00E0124F"/>
    <w:rsid w:val="00E025A9"/>
    <w:rsid w:val="00E047AF"/>
    <w:rsid w:val="00E126F1"/>
    <w:rsid w:val="00E2305C"/>
    <w:rsid w:val="00E27C63"/>
    <w:rsid w:val="00E509CD"/>
    <w:rsid w:val="00E5762A"/>
    <w:rsid w:val="00E674D3"/>
    <w:rsid w:val="00E70FD0"/>
    <w:rsid w:val="00E72B2C"/>
    <w:rsid w:val="00E7309D"/>
    <w:rsid w:val="00E73838"/>
    <w:rsid w:val="00E77C4B"/>
    <w:rsid w:val="00E854AA"/>
    <w:rsid w:val="00E9301F"/>
    <w:rsid w:val="00E9690A"/>
    <w:rsid w:val="00E97DC7"/>
    <w:rsid w:val="00EA10CF"/>
    <w:rsid w:val="00EE5249"/>
    <w:rsid w:val="00EF7193"/>
    <w:rsid w:val="00F000EF"/>
    <w:rsid w:val="00F22E71"/>
    <w:rsid w:val="00F2504E"/>
    <w:rsid w:val="00F2585B"/>
    <w:rsid w:val="00F4053F"/>
    <w:rsid w:val="00F4721D"/>
    <w:rsid w:val="00F5120B"/>
    <w:rsid w:val="00F516E7"/>
    <w:rsid w:val="00F554CA"/>
    <w:rsid w:val="00F57BF7"/>
    <w:rsid w:val="00F6263E"/>
    <w:rsid w:val="00F627C2"/>
    <w:rsid w:val="00F721CA"/>
    <w:rsid w:val="00F736FD"/>
    <w:rsid w:val="00F84067"/>
    <w:rsid w:val="00F97EAF"/>
    <w:rsid w:val="00FA3314"/>
    <w:rsid w:val="00FA50B4"/>
    <w:rsid w:val="00FB2AC7"/>
    <w:rsid w:val="00FB6E83"/>
    <w:rsid w:val="00FC156A"/>
    <w:rsid w:val="00FD6235"/>
    <w:rsid w:val="00FE13D1"/>
    <w:rsid w:val="00FE3DE5"/>
    <w:rsid w:val="00FF29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D00D3"/>
    <w:rPr>
      <w:rFonts w:eastAsia="BatangChe"/>
      <w:sz w:val="24"/>
      <w:szCs w:val="24"/>
    </w:rPr>
  </w:style>
  <w:style w:type="paragraph" w:customStyle="1" w:styleId="Default">
    <w:name w:val="Default"/>
    <w:rsid w:val="001F60EF"/>
    <w:pPr>
      <w:autoSpaceDE w:val="0"/>
      <w:autoSpaceDN w:val="0"/>
      <w:adjustRightInd w:val="0"/>
    </w:pPr>
    <w:rPr>
      <w:color w:val="000000"/>
      <w:sz w:val="24"/>
      <w:szCs w:val="24"/>
      <w:lang w:bidi="th-TH"/>
    </w:rPr>
  </w:style>
  <w:style w:type="character" w:customStyle="1" w:styleId="fontstyle01">
    <w:name w:val="fontstyle01"/>
    <w:basedOn w:val="DefaultParagraphFont"/>
    <w:rsid w:val="003318DC"/>
    <w:rPr>
      <w:rFonts w:ascii="Calibri-Italic" w:hAnsi="Calibri-Italic" w:hint="default"/>
      <w:b w:val="0"/>
      <w:bCs w:val="0"/>
      <w:i/>
      <w:iCs/>
      <w:color w:val="95373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D00D3"/>
    <w:rPr>
      <w:rFonts w:eastAsia="BatangChe"/>
      <w:sz w:val="24"/>
      <w:szCs w:val="24"/>
    </w:rPr>
  </w:style>
  <w:style w:type="paragraph" w:customStyle="1" w:styleId="Default">
    <w:name w:val="Default"/>
    <w:rsid w:val="001F60EF"/>
    <w:pPr>
      <w:autoSpaceDE w:val="0"/>
      <w:autoSpaceDN w:val="0"/>
      <w:adjustRightInd w:val="0"/>
    </w:pPr>
    <w:rPr>
      <w:color w:val="000000"/>
      <w:sz w:val="24"/>
      <w:szCs w:val="24"/>
      <w:lang w:bidi="th-TH"/>
    </w:rPr>
  </w:style>
  <w:style w:type="character" w:customStyle="1" w:styleId="fontstyle01">
    <w:name w:val="fontstyle01"/>
    <w:basedOn w:val="DefaultParagraphFont"/>
    <w:rsid w:val="003318DC"/>
    <w:rPr>
      <w:rFonts w:ascii="Calibri-Italic" w:hAnsi="Calibri-Italic" w:hint="default"/>
      <w:b w:val="0"/>
      <w:bCs w:val="0"/>
      <w:i/>
      <w:iCs/>
      <w:color w:val="95373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tu.int/md/R15-SG05-C-0149/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3FC9-21C0-42EA-8D29-B7BB744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9460</Characters>
  <Application>Microsoft Office Word</Application>
  <DocSecurity>0</DocSecurity>
  <Lines>78</Lines>
  <Paragraphs>22</Paragraphs>
  <ScaleCrop>false</ScaleCrop>
  <HeadingPairs>
    <vt:vector size="8" baseType="variant">
      <vt:variant>
        <vt:lpstr>Title</vt:lpstr>
      </vt:variant>
      <vt:variant>
        <vt:i4>1</vt:i4>
      </vt:variant>
      <vt:variant>
        <vt:lpstr>ชื่อเรื่อง</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APT</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2019-08-12T02:59:00Z</dcterms:created>
  <dcterms:modified xsi:type="dcterms:W3CDTF">2019-08-12T02:59:00Z</dcterms:modified>
</cp:coreProperties>
</file>