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B26989" w:rsidRPr="00891D0B" w:rsidTr="00B872C8">
        <w:trPr>
          <w:cantSplit/>
          <w:trHeight w:val="288"/>
        </w:trPr>
        <w:tc>
          <w:tcPr>
            <w:tcW w:w="1399" w:type="dxa"/>
            <w:vMerge w:val="restart"/>
          </w:tcPr>
          <w:p w:rsidR="00B26989" w:rsidRPr="00891D0B" w:rsidRDefault="00B26989" w:rsidP="00B872C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zh-CN"/>
              </w:rPr>
              <w:drawing>
                <wp:inline distT="0" distB="0" distL="0" distR="0" wp14:anchorId="739096BF" wp14:editId="0CF41E44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26989" w:rsidRPr="00E86131" w:rsidRDefault="00B26989" w:rsidP="00B872C8">
            <w:r w:rsidRPr="00E86131">
              <w:t>ASIA-PACIFIC TELECOMMUNITY</w:t>
            </w:r>
          </w:p>
        </w:tc>
        <w:tc>
          <w:tcPr>
            <w:tcW w:w="2160" w:type="dxa"/>
          </w:tcPr>
          <w:p w:rsidR="00B26989" w:rsidRPr="00723BE9" w:rsidRDefault="00B26989" w:rsidP="00B872C8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B26989" w:rsidRPr="00C15799" w:rsidTr="00B872C8">
        <w:trPr>
          <w:cantSplit/>
          <w:trHeight w:val="504"/>
        </w:trPr>
        <w:tc>
          <w:tcPr>
            <w:tcW w:w="1399" w:type="dxa"/>
            <w:vMerge/>
          </w:tcPr>
          <w:p w:rsidR="00B26989" w:rsidRPr="00891D0B" w:rsidRDefault="00B26989" w:rsidP="00B872C8"/>
        </w:tc>
        <w:tc>
          <w:tcPr>
            <w:tcW w:w="5760" w:type="dxa"/>
          </w:tcPr>
          <w:p w:rsidR="00B26989" w:rsidRDefault="00B26989" w:rsidP="00B872C8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5th Meeting of the APT Conference Preparatory</w:t>
            </w:r>
          </w:p>
          <w:p w:rsidR="00B26989" w:rsidRPr="00891D0B" w:rsidRDefault="00B26989" w:rsidP="00B872C8">
            <w:pPr>
              <w:spacing w:line="0" w:lineRule="atLeast"/>
            </w:pPr>
            <w:r>
              <w:rPr>
                <w:b/>
              </w:rPr>
              <w:t>Group for WRC-19 (APG19-5)</w:t>
            </w:r>
          </w:p>
        </w:tc>
        <w:tc>
          <w:tcPr>
            <w:tcW w:w="2160" w:type="dxa"/>
          </w:tcPr>
          <w:p w:rsidR="00B26989" w:rsidRDefault="00B26989" w:rsidP="00B26989">
            <w:pPr>
              <w:rPr>
                <w:b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 xml:space="preserve">G19-5/OUT-29 </w:t>
            </w:r>
          </w:p>
        </w:tc>
      </w:tr>
      <w:tr w:rsidR="00B26989" w:rsidRPr="00891D0B" w:rsidTr="00B872C8">
        <w:trPr>
          <w:cantSplit/>
          <w:trHeight w:val="288"/>
        </w:trPr>
        <w:tc>
          <w:tcPr>
            <w:tcW w:w="1399" w:type="dxa"/>
            <w:vMerge/>
          </w:tcPr>
          <w:p w:rsidR="00B26989" w:rsidRPr="007E1FDD" w:rsidRDefault="00B26989" w:rsidP="00B872C8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:rsidR="00B26989" w:rsidRPr="00712451" w:rsidRDefault="00B26989" w:rsidP="00B872C8">
            <w:pPr>
              <w:rPr>
                <w:b/>
              </w:rPr>
            </w:pPr>
            <w:r>
              <w:t>31 July – 6 August 2019</w:t>
            </w:r>
            <w:r w:rsidRPr="00891D0B">
              <w:t xml:space="preserve">, </w:t>
            </w:r>
            <w:r>
              <w:t>Tokyo, Japan</w:t>
            </w:r>
          </w:p>
        </w:tc>
        <w:tc>
          <w:tcPr>
            <w:tcW w:w="2160" w:type="dxa"/>
            <w:vAlign w:val="bottom"/>
          </w:tcPr>
          <w:p w:rsidR="00B26989" w:rsidRDefault="00B26989" w:rsidP="00B872C8">
            <w:r>
              <w:rPr>
                <w:bCs/>
              </w:rPr>
              <w:t>5</w:t>
            </w:r>
            <w:r w:rsidRPr="007E1FDD">
              <w:rPr>
                <w:bCs/>
              </w:rPr>
              <w:t xml:space="preserve"> </w:t>
            </w:r>
            <w:r>
              <w:rPr>
                <w:bCs/>
              </w:rPr>
              <w:t xml:space="preserve">August </w:t>
            </w:r>
            <w:r w:rsidRPr="007E1FD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</w:tr>
    </w:tbl>
    <w:p w:rsidR="00DA7595" w:rsidRPr="001A25A5" w:rsidRDefault="00DA7595" w:rsidP="00DA7595">
      <w:pPr>
        <w:rPr>
          <w:sz w:val="26"/>
          <w:szCs w:val="26"/>
          <w:lang w:eastAsia="ko-KR"/>
        </w:rPr>
      </w:pPr>
    </w:p>
    <w:p w:rsidR="007634EE" w:rsidRDefault="007634EE" w:rsidP="00DA7595">
      <w:pPr>
        <w:jc w:val="center"/>
        <w:rPr>
          <w:lang w:val="en-NZ"/>
        </w:rPr>
      </w:pPr>
    </w:p>
    <w:p w:rsidR="00DA7595" w:rsidRPr="001A25A5" w:rsidRDefault="00B82DBC" w:rsidP="00DA7595">
      <w:pPr>
        <w:jc w:val="center"/>
        <w:rPr>
          <w:sz w:val="26"/>
          <w:szCs w:val="26"/>
          <w:lang w:eastAsia="ko-KR"/>
        </w:rPr>
      </w:pPr>
      <w:r>
        <w:rPr>
          <w:lang w:val="en-NZ"/>
        </w:rPr>
        <w:t>Working Party 1</w:t>
      </w:r>
    </w:p>
    <w:p w:rsidR="00FE3DE5" w:rsidRPr="001A25A5" w:rsidRDefault="00FE3DE5" w:rsidP="0063062B">
      <w:pPr>
        <w:jc w:val="center"/>
        <w:rPr>
          <w:bCs/>
          <w:caps/>
          <w:sz w:val="26"/>
          <w:szCs w:val="26"/>
        </w:rPr>
      </w:pPr>
    </w:p>
    <w:p w:rsidR="00294C5A" w:rsidRDefault="00294C5A" w:rsidP="00294C5A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 xml:space="preserve">APT VIEW AND Draft PRELIMINARY APT COMMON PROPOSAL </w:t>
      </w:r>
    </w:p>
    <w:p w:rsidR="00667CE0" w:rsidRPr="003273CD" w:rsidRDefault="00294C5A" w:rsidP="00294C5A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>on WRC-19 agenda item 1.15</w:t>
      </w:r>
    </w:p>
    <w:p w:rsidR="00C357AD" w:rsidRDefault="00C357AD" w:rsidP="00C357AD">
      <w:pPr>
        <w:jc w:val="both"/>
        <w:rPr>
          <w:b/>
        </w:rPr>
      </w:pPr>
    </w:p>
    <w:p w:rsidR="00B26989" w:rsidRDefault="00B26989" w:rsidP="00402333">
      <w:pPr>
        <w:rPr>
          <w:b/>
          <w:lang w:val="en-NZ"/>
        </w:rPr>
      </w:pPr>
    </w:p>
    <w:p w:rsidR="000A5418" w:rsidRPr="000A5418" w:rsidRDefault="00667CE0" w:rsidP="00402333">
      <w:pPr>
        <w:rPr>
          <w:i/>
        </w:rPr>
      </w:pPr>
      <w:r w:rsidRPr="00710333">
        <w:rPr>
          <w:b/>
          <w:lang w:val="en-NZ"/>
        </w:rPr>
        <w:t>Agenda Item 1.</w:t>
      </w:r>
      <w:r>
        <w:rPr>
          <w:b/>
          <w:lang w:val="en-NZ"/>
        </w:rPr>
        <w:t>15</w:t>
      </w:r>
      <w:r w:rsidRPr="00710333">
        <w:rPr>
          <w:b/>
          <w:lang w:val="en-NZ"/>
        </w:rPr>
        <w:t xml:space="preserve">: </w:t>
      </w:r>
      <w:r w:rsidRPr="006C1EF2">
        <w:rPr>
          <w:i/>
        </w:rPr>
        <w:t xml:space="preserve">to consider identification of frequency bands for use by administrations for the land-mobile and fixed services applications operating in the frequency range 275-450 GHz, in accordance with Resolution </w:t>
      </w:r>
      <w:r w:rsidRPr="006C1EF2">
        <w:rPr>
          <w:b/>
          <w:i/>
        </w:rPr>
        <w:t>767 (WRC</w:t>
      </w:r>
      <w:r>
        <w:rPr>
          <w:b/>
          <w:i/>
        </w:rPr>
        <w:t>-</w:t>
      </w:r>
      <w:r w:rsidRPr="006C1EF2">
        <w:rPr>
          <w:b/>
          <w:i/>
        </w:rPr>
        <w:t>15)</w:t>
      </w:r>
      <w:r w:rsidRPr="006C1EF2">
        <w:rPr>
          <w:i/>
        </w:rPr>
        <w:t>;</w:t>
      </w:r>
    </w:p>
    <w:p w:rsidR="000A5418" w:rsidRDefault="000A5418" w:rsidP="00402333"/>
    <w:p w:rsidR="00B26989" w:rsidRDefault="00B26989" w:rsidP="00402333"/>
    <w:p w:rsidR="000A5418" w:rsidRPr="00B82DBC" w:rsidRDefault="000A5418" w:rsidP="00B82DBC">
      <w:pPr>
        <w:pStyle w:val="ListParagraph"/>
        <w:numPr>
          <w:ilvl w:val="0"/>
          <w:numId w:val="21"/>
        </w:numPr>
        <w:spacing w:after="120"/>
        <w:rPr>
          <w:b/>
          <w:lang w:eastAsia="ko-KR"/>
        </w:rPr>
      </w:pPr>
      <w:r w:rsidRPr="00B82DBC">
        <w:rPr>
          <w:rFonts w:hint="eastAsia"/>
          <w:b/>
          <w:lang w:eastAsia="ko-KR"/>
        </w:rPr>
        <w:t>Background</w:t>
      </w:r>
    </w:p>
    <w:p w:rsidR="00667CE0" w:rsidRPr="00E636A4" w:rsidRDefault="00BD6597" w:rsidP="00B26989">
      <w:pPr>
        <w:jc w:val="both"/>
        <w:rPr>
          <w:lang w:eastAsia="ko-KR"/>
        </w:rPr>
      </w:pPr>
      <w:r w:rsidRPr="00B82DBC">
        <w:rPr>
          <w:rFonts w:eastAsia="MS Mincho" w:hint="eastAsia"/>
          <w:bCs/>
          <w:lang w:eastAsia="ja-JP"/>
        </w:rPr>
        <w:t>In accordance with</w:t>
      </w:r>
      <w:r w:rsidRPr="00E636A4">
        <w:rPr>
          <w:rFonts w:eastAsia="MS Mincho" w:hint="eastAsia"/>
          <w:b/>
          <w:lang w:eastAsia="ja-JP"/>
        </w:rPr>
        <w:t xml:space="preserve"> </w:t>
      </w:r>
      <w:r w:rsidR="00667CE0" w:rsidRPr="00E636A4">
        <w:rPr>
          <w:b/>
          <w:lang w:eastAsia="ko-KR"/>
        </w:rPr>
        <w:t>Resolution 767</w:t>
      </w:r>
      <w:r w:rsidRPr="00E636A4">
        <w:rPr>
          <w:rFonts w:eastAsia="MS Mincho" w:hint="eastAsia"/>
          <w:b/>
          <w:lang w:eastAsia="ja-JP"/>
        </w:rPr>
        <w:t xml:space="preserve"> (WRC-15)</w:t>
      </w:r>
      <w:r w:rsidR="00667CE0" w:rsidRPr="00E636A4">
        <w:rPr>
          <w:lang w:eastAsia="ko-KR"/>
        </w:rPr>
        <w:t xml:space="preserve">, </w:t>
      </w:r>
      <w:r w:rsidRPr="00E636A4">
        <w:rPr>
          <w:lang w:eastAsia="ko-KR"/>
        </w:rPr>
        <w:t>WRC-19</w:t>
      </w:r>
      <w:r w:rsidRPr="00E636A4">
        <w:rPr>
          <w:rFonts w:eastAsia="MS Mincho" w:hint="eastAsia"/>
          <w:lang w:eastAsia="ja-JP"/>
        </w:rPr>
        <w:t xml:space="preserve"> was invited:</w:t>
      </w:r>
    </w:p>
    <w:p w:rsidR="00667CE0" w:rsidRPr="00A731C2" w:rsidRDefault="00667CE0" w:rsidP="00B26989">
      <w:pPr>
        <w:spacing w:after="120"/>
        <w:jc w:val="both"/>
        <w:rPr>
          <w:b/>
          <w:lang w:eastAsia="ko-KR"/>
        </w:rPr>
      </w:pPr>
      <w:r w:rsidRPr="00E636A4">
        <w:rPr>
          <w:lang w:eastAsia="ko-KR"/>
        </w:rPr>
        <w:t>taking into account the results of ITU-R studies on sharing and compatibility between passive and active services as well as spectrum needs for those services, to consider identification for use by administrations for the land-mobile and fixed service applications operating in the frequency range 275-</w:t>
      </w:r>
      <w:r w:rsidRPr="00A731C2">
        <w:rPr>
          <w:lang w:eastAsia="ko-KR"/>
        </w:rPr>
        <w:t>450</w:t>
      </w:r>
      <w:r w:rsidR="00B640E9">
        <w:rPr>
          <w:lang w:eastAsia="ko-KR"/>
        </w:rPr>
        <w:t xml:space="preserve"> </w:t>
      </w:r>
      <w:r w:rsidRPr="00A731C2">
        <w:rPr>
          <w:lang w:eastAsia="ko-KR"/>
        </w:rPr>
        <w:t xml:space="preserve">GHz, while maintaining protection of the passive services identified in </w:t>
      </w:r>
      <w:r w:rsidR="00B640E9">
        <w:rPr>
          <w:lang w:eastAsia="ko-KR"/>
        </w:rPr>
        <w:t xml:space="preserve">RR </w:t>
      </w:r>
      <w:r w:rsidRPr="00A731C2">
        <w:rPr>
          <w:lang w:eastAsia="ko-KR"/>
        </w:rPr>
        <w:t>No.</w:t>
      </w:r>
      <w:r w:rsidRPr="00A731C2">
        <w:rPr>
          <w:b/>
          <w:lang w:eastAsia="ko-KR"/>
        </w:rPr>
        <w:t xml:space="preserve"> 5.565</w:t>
      </w:r>
      <w:r w:rsidRPr="00A731C2">
        <w:rPr>
          <w:lang w:eastAsia="ko-KR"/>
        </w:rPr>
        <w:t>, and take appropriate action.</w:t>
      </w:r>
    </w:p>
    <w:p w:rsidR="00D6020C" w:rsidRPr="00A731C2" w:rsidRDefault="00D6020C" w:rsidP="00B82DBC">
      <w:pPr>
        <w:rPr>
          <w:lang w:eastAsia="ko-KR"/>
        </w:rPr>
      </w:pPr>
      <w:r w:rsidRPr="00A731C2">
        <w:rPr>
          <w:lang w:eastAsia="ko-KR"/>
        </w:rPr>
        <w:t xml:space="preserve">ITU-R </w:t>
      </w:r>
      <w:r w:rsidR="00BD6597" w:rsidRPr="00A731C2">
        <w:rPr>
          <w:rFonts w:eastAsia="MS Mincho" w:hint="eastAsia"/>
          <w:lang w:eastAsia="ja-JP"/>
        </w:rPr>
        <w:t xml:space="preserve">and APT </w:t>
      </w:r>
      <w:r w:rsidRPr="00A731C2">
        <w:rPr>
          <w:lang w:eastAsia="ko-KR"/>
        </w:rPr>
        <w:t>studies are as follows:</w:t>
      </w:r>
    </w:p>
    <w:p w:rsidR="00A731C2" w:rsidRPr="00A731C2" w:rsidRDefault="00A731C2" w:rsidP="00D6020C">
      <w:pPr>
        <w:pStyle w:val="ListParagraph"/>
        <w:numPr>
          <w:ilvl w:val="0"/>
          <w:numId w:val="17"/>
        </w:numPr>
        <w:ind w:left="630"/>
        <w:contextualSpacing w:val="0"/>
        <w:rPr>
          <w:b/>
          <w:lang w:eastAsia="ko-KR"/>
        </w:rPr>
      </w:pPr>
      <w:r w:rsidRPr="00A731C2">
        <w:t>Report ITU-R SM.2450-0 “Sharing and compatibility studies between land-mobile, fixed and passive services in the frequency range 275-450 GHz”</w:t>
      </w:r>
    </w:p>
    <w:p w:rsidR="00D6020C" w:rsidRPr="006C3B8D" w:rsidRDefault="00D6020C" w:rsidP="00D6020C">
      <w:pPr>
        <w:pStyle w:val="ListParagraph"/>
        <w:numPr>
          <w:ilvl w:val="0"/>
          <w:numId w:val="17"/>
        </w:numPr>
        <w:ind w:left="630"/>
        <w:contextualSpacing w:val="0"/>
        <w:rPr>
          <w:b/>
          <w:lang w:eastAsia="ko-KR"/>
        </w:rPr>
      </w:pPr>
      <w:r w:rsidRPr="00A731C2">
        <w:rPr>
          <w:lang w:eastAsia="ko-KR"/>
        </w:rPr>
        <w:t xml:space="preserve">Report ITU-R </w:t>
      </w:r>
      <w:hyperlink r:id="rId9" w:history="1">
        <w:r w:rsidRPr="006C3B8D">
          <w:rPr>
            <w:rStyle w:val="Hyperlink"/>
            <w:color w:val="auto"/>
            <w:u w:val="none"/>
            <w:lang w:eastAsia="ko-KR"/>
          </w:rPr>
          <w:t>F.2416</w:t>
        </w:r>
      </w:hyperlink>
      <w:r w:rsidR="00F31077" w:rsidRPr="006C3B8D">
        <w:rPr>
          <w:rStyle w:val="Hyperlink"/>
          <w:color w:val="auto"/>
          <w:u w:val="none"/>
          <w:lang w:eastAsia="ko-KR"/>
        </w:rPr>
        <w:t>-0</w:t>
      </w:r>
      <w:r w:rsidRPr="006C3B8D">
        <w:rPr>
          <w:lang w:eastAsia="ko-KR"/>
        </w:rPr>
        <w:t xml:space="preserve"> “</w:t>
      </w:r>
      <w:r w:rsidRPr="006C3B8D">
        <w:rPr>
          <w:rFonts w:cs="Segoe UI"/>
        </w:rPr>
        <w:t>Technical and operational characteristics and applications of the point-to-point fixed service applications operating in the frequency band 275-450 GHz</w:t>
      </w:r>
      <w:r w:rsidRPr="006C3B8D">
        <w:rPr>
          <w:lang w:eastAsia="ko-KR"/>
        </w:rPr>
        <w:t xml:space="preserve">” </w:t>
      </w:r>
    </w:p>
    <w:p w:rsidR="00806638" w:rsidRPr="006C3B8D" w:rsidRDefault="00D6020C" w:rsidP="00D6020C">
      <w:pPr>
        <w:pStyle w:val="ListParagraph"/>
        <w:numPr>
          <w:ilvl w:val="0"/>
          <w:numId w:val="17"/>
        </w:numPr>
        <w:ind w:left="630"/>
      </w:pPr>
      <w:r w:rsidRPr="006C3B8D">
        <w:rPr>
          <w:lang w:eastAsia="ko-KR"/>
        </w:rPr>
        <w:t xml:space="preserve">Report ITU-R </w:t>
      </w:r>
      <w:hyperlink r:id="rId10" w:history="1">
        <w:r w:rsidRPr="006C3B8D">
          <w:rPr>
            <w:rStyle w:val="Hyperlink"/>
            <w:color w:val="auto"/>
            <w:u w:val="none"/>
            <w:lang w:eastAsia="ko-KR"/>
          </w:rPr>
          <w:t>M.2417</w:t>
        </w:r>
      </w:hyperlink>
      <w:r w:rsidR="00F31077" w:rsidRPr="006C3B8D">
        <w:rPr>
          <w:rStyle w:val="Hyperlink"/>
          <w:color w:val="auto"/>
          <w:u w:val="none"/>
          <w:lang w:eastAsia="ko-KR"/>
        </w:rPr>
        <w:t>-0</w:t>
      </w:r>
      <w:r w:rsidRPr="006C3B8D">
        <w:rPr>
          <w:lang w:eastAsia="ko-KR"/>
        </w:rPr>
        <w:t xml:space="preserve"> “</w:t>
      </w:r>
      <w:r w:rsidRPr="006C3B8D">
        <w:rPr>
          <w:rFonts w:cs="Segoe UI"/>
        </w:rPr>
        <w:t>Technical and operational characteristics of land-mobile service applications in the frequency range 275-450 GHz”</w:t>
      </w:r>
    </w:p>
    <w:p w:rsidR="006C3B8D" w:rsidRPr="006C3B8D" w:rsidRDefault="006C3B8D" w:rsidP="00D64F87">
      <w:pPr>
        <w:pStyle w:val="ListParagraph"/>
        <w:numPr>
          <w:ilvl w:val="0"/>
          <w:numId w:val="17"/>
        </w:numPr>
        <w:ind w:left="630"/>
      </w:pPr>
      <w:r w:rsidRPr="006C3B8D">
        <w:t xml:space="preserve">Report ITU-R RA.2189-1 </w:t>
      </w:r>
      <w:r>
        <w:t>“</w:t>
      </w:r>
      <w:r w:rsidRPr="006C3B8D">
        <w:t>Sharing between the radio astronomy service and active services in the frequency range 275-3 000 GHz</w:t>
      </w:r>
      <w:r>
        <w:t>”</w:t>
      </w:r>
    </w:p>
    <w:p w:rsidR="00D64F87" w:rsidRPr="00D64F87" w:rsidRDefault="00D068D5" w:rsidP="00D64F87">
      <w:pPr>
        <w:pStyle w:val="ListParagraph"/>
        <w:numPr>
          <w:ilvl w:val="0"/>
          <w:numId w:val="17"/>
        </w:numPr>
        <w:ind w:left="630"/>
      </w:pPr>
      <w:r w:rsidRPr="00A731C2">
        <w:rPr>
          <w:rFonts w:eastAsia="MS Mincho"/>
          <w:lang w:eastAsia="ja-JP"/>
        </w:rPr>
        <w:t xml:space="preserve">APT Report on "Short Range Radiocommunication Systems and Application Scenarios Operating in the Frequency Range 275-1000GHz"’ </w:t>
      </w:r>
      <w:r w:rsidR="00AD0E7B">
        <w:rPr>
          <w:rFonts w:eastAsia="MS Mincho"/>
          <w:lang w:eastAsia="ja-JP"/>
        </w:rPr>
        <w:t>(</w:t>
      </w:r>
      <w:r w:rsidRPr="00A731C2">
        <w:rPr>
          <w:rFonts w:eastAsia="MS Mincho"/>
          <w:lang w:eastAsia="ja-JP"/>
        </w:rPr>
        <w:t>APT/AWG/REP-66</w:t>
      </w:r>
      <w:r w:rsidR="00AD0E7B">
        <w:rPr>
          <w:rFonts w:eastAsia="MS Mincho"/>
          <w:lang w:eastAsia="ja-JP"/>
        </w:rPr>
        <w:t>)</w:t>
      </w:r>
    </w:p>
    <w:p w:rsidR="006C3B8D" w:rsidRDefault="00D64F87" w:rsidP="006C3B8D">
      <w:pPr>
        <w:pStyle w:val="ListParagraph"/>
        <w:numPr>
          <w:ilvl w:val="0"/>
          <w:numId w:val="17"/>
        </w:numPr>
        <w:ind w:left="630"/>
      </w:pPr>
      <w:r>
        <w:t>CPM Report on technical, operational and regulatory/procedural matters to be considered by the World Radiocommunication Conference 2019</w:t>
      </w:r>
    </w:p>
    <w:p w:rsidR="00D6020C" w:rsidRPr="00A731C2" w:rsidRDefault="00D6020C" w:rsidP="00402333">
      <w:pPr>
        <w:ind w:left="270"/>
      </w:pPr>
    </w:p>
    <w:p w:rsidR="00AE5A98" w:rsidRPr="00A731C2" w:rsidRDefault="00402333" w:rsidP="00402333">
      <w:pPr>
        <w:ind w:left="270"/>
      </w:pPr>
      <w:r w:rsidRPr="00A731C2">
        <w:t xml:space="preserve">Summary of </w:t>
      </w:r>
      <w:r w:rsidR="00AE5A98" w:rsidRPr="00A731C2">
        <w:t>Methods</w:t>
      </w:r>
      <w:r w:rsidRPr="00A731C2">
        <w:t>:</w:t>
      </w:r>
    </w:p>
    <w:p w:rsidR="0061787B" w:rsidRDefault="0061787B" w:rsidP="00C269D3">
      <w:pPr>
        <w:spacing w:after="120"/>
        <w:ind w:left="270"/>
        <w:rPr>
          <w:rFonts w:eastAsia="SimSun"/>
        </w:rPr>
      </w:pPr>
      <w:r w:rsidRPr="00FD5FC9">
        <w:rPr>
          <w:b/>
        </w:rPr>
        <w:t>Method A</w:t>
      </w:r>
      <w:r w:rsidRPr="00FD5FC9">
        <w:t>: No change to the Radio Regulations.</w:t>
      </w:r>
      <w:r w:rsidR="00C269D3" w:rsidRPr="00FD5FC9">
        <w:br/>
      </w:r>
      <w:r w:rsidRPr="00FD5FC9">
        <w:rPr>
          <w:b/>
        </w:rPr>
        <w:t>Method B</w:t>
      </w:r>
      <w:r w:rsidRPr="00FD5FC9">
        <w:t xml:space="preserve">: Modifying the existing footnote RR No. </w:t>
      </w:r>
      <w:r w:rsidRPr="00FD5FC9">
        <w:rPr>
          <w:b/>
        </w:rPr>
        <w:t>5.565</w:t>
      </w:r>
      <w:r w:rsidRPr="00FD5FC9">
        <w:t xml:space="preserve"> is proposed for FS/LMS applications in portions of the 275-450 GHz frequency range.</w:t>
      </w:r>
      <w:r w:rsidR="00C269D3" w:rsidRPr="00FD5FC9">
        <w:br/>
      </w:r>
      <w:r w:rsidRPr="00FD5FC9">
        <w:rPr>
          <w:rFonts w:eastAsiaTheme="minorEastAsia" w:hint="eastAsia"/>
          <w:b/>
          <w:lang w:eastAsia="ja-JP"/>
        </w:rPr>
        <w:t>M</w:t>
      </w:r>
      <w:r w:rsidRPr="00FD5FC9">
        <w:rPr>
          <w:rFonts w:eastAsiaTheme="minorEastAsia"/>
          <w:b/>
          <w:lang w:eastAsia="ja-JP"/>
        </w:rPr>
        <w:t>ethod C</w:t>
      </w:r>
      <w:r w:rsidRPr="00FD5FC9">
        <w:rPr>
          <w:rFonts w:eastAsiaTheme="minorEastAsia"/>
          <w:lang w:eastAsia="ja-JP"/>
        </w:rPr>
        <w:t xml:space="preserve">: </w:t>
      </w:r>
      <w:r w:rsidR="00FD5FC9" w:rsidRPr="0042498F">
        <w:t>This method suggests adding a new footnote to identify the 275-450 GHz frequency range for use by FS/LMS applications, while protecting EESS (passive) and RAS using the evolving guidance of ITU-R Recommendations and Reports, taking into account that there are no service allocations above 275 GHz.</w:t>
      </w:r>
      <w:r w:rsidR="00C269D3" w:rsidRPr="00FD5FC9">
        <w:br/>
      </w:r>
      <w:r w:rsidRPr="00FD5FC9">
        <w:rPr>
          <w:rFonts w:eastAsiaTheme="minorEastAsia" w:hint="eastAsia"/>
          <w:b/>
          <w:lang w:eastAsia="ja-JP"/>
        </w:rPr>
        <w:t>M</w:t>
      </w:r>
      <w:r w:rsidRPr="00FD5FC9">
        <w:rPr>
          <w:rFonts w:eastAsiaTheme="minorEastAsia"/>
          <w:b/>
          <w:lang w:eastAsia="ja-JP"/>
        </w:rPr>
        <w:t>ethod D</w:t>
      </w:r>
      <w:r w:rsidRPr="00FD5FC9">
        <w:rPr>
          <w:rFonts w:eastAsiaTheme="minorEastAsia"/>
          <w:lang w:eastAsia="ja-JP"/>
        </w:rPr>
        <w:t xml:space="preserve">: </w:t>
      </w:r>
      <w:r w:rsidR="00FD5FC9" w:rsidRPr="00FD5FC9">
        <w:t xml:space="preserve">Adding a new footnote RR No. </w:t>
      </w:r>
      <w:r w:rsidR="00AD0E7B">
        <w:rPr>
          <w:b/>
          <w:bCs/>
        </w:rPr>
        <w:t>5.B</w:t>
      </w:r>
      <w:r w:rsidR="00FD5FC9" w:rsidRPr="00FD5FC9">
        <w:rPr>
          <w:b/>
          <w:bCs/>
        </w:rPr>
        <w:t xml:space="preserve">115 </w:t>
      </w:r>
      <w:r w:rsidR="00FD5FC9" w:rsidRPr="00FD5FC9">
        <w:t>is proposed for land mobile and fixed service applications: 275-296 GHz, 306-313 GHz, 320-330 GHz and 356-450 GHz.</w:t>
      </w:r>
      <w:r w:rsidRPr="00FD5FC9">
        <w:rPr>
          <w:rFonts w:eastAsiaTheme="minorEastAsia"/>
          <w:lang w:eastAsia="ja-JP"/>
        </w:rPr>
        <w:t xml:space="preserve"> </w:t>
      </w:r>
      <w:r w:rsidR="00C269D3" w:rsidRPr="00FD5FC9">
        <w:br/>
      </w:r>
      <w:r w:rsidRPr="00FD5FC9">
        <w:rPr>
          <w:rFonts w:eastAsiaTheme="minorEastAsia" w:hint="eastAsia"/>
          <w:b/>
          <w:lang w:eastAsia="ja-JP"/>
        </w:rPr>
        <w:lastRenderedPageBreak/>
        <w:t>M</w:t>
      </w:r>
      <w:r w:rsidRPr="00FD5FC9">
        <w:rPr>
          <w:rFonts w:eastAsiaTheme="minorEastAsia"/>
          <w:b/>
          <w:lang w:eastAsia="ja-JP"/>
        </w:rPr>
        <w:t>ethod E</w:t>
      </w:r>
      <w:r w:rsidRPr="00FD5FC9">
        <w:rPr>
          <w:rFonts w:eastAsiaTheme="minorEastAsia"/>
          <w:lang w:eastAsia="ja-JP"/>
        </w:rPr>
        <w:t xml:space="preserve">: </w:t>
      </w:r>
      <w:r w:rsidR="00FD5FC9" w:rsidRPr="00FD5FC9">
        <w:t xml:space="preserve">Adding a new footnote RR No. </w:t>
      </w:r>
      <w:r w:rsidR="00AD0E7B">
        <w:rPr>
          <w:b/>
          <w:bCs/>
        </w:rPr>
        <w:t>5.C</w:t>
      </w:r>
      <w:r w:rsidR="00FD5FC9" w:rsidRPr="00FD5FC9">
        <w:rPr>
          <w:b/>
          <w:bCs/>
        </w:rPr>
        <w:t xml:space="preserve">115 </w:t>
      </w:r>
      <w:r w:rsidR="00FD5FC9" w:rsidRPr="00FD5FC9">
        <w:rPr>
          <w:bCs/>
        </w:rPr>
        <w:t>and</w:t>
      </w:r>
      <w:r w:rsidR="00FD5FC9" w:rsidRPr="00FD5FC9">
        <w:t xml:space="preserve"> modifying the existing footnote RR No. </w:t>
      </w:r>
      <w:r w:rsidR="00FD5FC9" w:rsidRPr="00FD5FC9">
        <w:rPr>
          <w:b/>
        </w:rPr>
        <w:t>5.565</w:t>
      </w:r>
      <w:r w:rsidR="00FD5FC9" w:rsidRPr="00FD5FC9">
        <w:t xml:space="preserve"> are proposed for FS/LMS applications in portions of the 275-450 GHz band.</w:t>
      </w:r>
      <w:r w:rsidR="00FD5FC9" w:rsidRPr="00FD5FC9">
        <w:rPr>
          <w:rFonts w:eastAsiaTheme="minorEastAsia"/>
          <w:lang w:eastAsia="ja-JP"/>
        </w:rPr>
        <w:br/>
      </w:r>
      <w:r w:rsidR="00FD5FC9" w:rsidRPr="00FD5FC9">
        <w:rPr>
          <w:rFonts w:eastAsiaTheme="minorEastAsia" w:hint="eastAsia"/>
          <w:b/>
          <w:lang w:eastAsia="ja-JP"/>
        </w:rPr>
        <w:t>M</w:t>
      </w:r>
      <w:r w:rsidR="00FD5FC9" w:rsidRPr="00FD5FC9">
        <w:rPr>
          <w:rFonts w:eastAsiaTheme="minorEastAsia"/>
          <w:b/>
          <w:lang w:eastAsia="ja-JP"/>
        </w:rPr>
        <w:t>ethod F</w:t>
      </w:r>
      <w:r w:rsidR="00FD5FC9" w:rsidRPr="00FD5FC9">
        <w:rPr>
          <w:rFonts w:eastAsiaTheme="minorEastAsia"/>
          <w:lang w:eastAsia="ja-JP"/>
        </w:rPr>
        <w:t xml:space="preserve">: </w:t>
      </w:r>
      <w:r w:rsidR="00FD5FC9" w:rsidRPr="00FD5FC9">
        <w:rPr>
          <w:rFonts w:eastAsia="MS Mincho"/>
        </w:rPr>
        <w:t xml:space="preserve">Adding a new footnote RR No. </w:t>
      </w:r>
      <w:r w:rsidR="00FD5FC9" w:rsidRPr="00FD5FC9">
        <w:rPr>
          <w:rFonts w:eastAsia="MS Mincho"/>
          <w:b/>
          <w:bCs/>
        </w:rPr>
        <w:t>5.</w:t>
      </w:r>
      <w:r w:rsidR="00AD0E7B">
        <w:rPr>
          <w:rFonts w:eastAsia="MS Mincho"/>
          <w:b/>
          <w:bCs/>
        </w:rPr>
        <w:t>D</w:t>
      </w:r>
      <w:r w:rsidR="00FD5FC9" w:rsidRPr="00FD5FC9">
        <w:rPr>
          <w:rFonts w:eastAsia="MS Mincho"/>
          <w:b/>
          <w:bCs/>
        </w:rPr>
        <w:t xml:space="preserve">115 </w:t>
      </w:r>
      <w:r w:rsidR="00FD5FC9" w:rsidRPr="00FD5FC9">
        <w:rPr>
          <w:rFonts w:eastAsia="MS Mincho"/>
        </w:rPr>
        <w:t>is proposed for FS applications in portions of the 275</w:t>
      </w:r>
      <w:r w:rsidR="00FD5FC9" w:rsidRPr="00FD5FC9">
        <w:rPr>
          <w:rFonts w:eastAsia="MS Mincho"/>
        </w:rPr>
        <w:noBreakHyphen/>
        <w:t>450 GHz band</w:t>
      </w:r>
      <w:r w:rsidR="00FD5FC9" w:rsidRPr="00FD5FC9">
        <w:rPr>
          <w:rFonts w:eastAsia="MS Mincho"/>
          <w:lang w:eastAsia="ja-JP"/>
        </w:rPr>
        <w:t xml:space="preserve"> and for LMS applications in the entire 275-450 GHz frequency band</w:t>
      </w:r>
      <w:r w:rsidR="00FD5FC9" w:rsidRPr="00FD5FC9">
        <w:rPr>
          <w:rFonts w:eastAsia="MS Mincho"/>
        </w:rPr>
        <w:t>.</w:t>
      </w:r>
      <w:r w:rsidR="00FD5FC9" w:rsidRPr="00FD5FC9">
        <w:rPr>
          <w:rFonts w:eastAsia="MS Mincho"/>
        </w:rPr>
        <w:br/>
      </w:r>
      <w:r w:rsidR="00FD5FC9" w:rsidRPr="00FD5FC9">
        <w:rPr>
          <w:rFonts w:eastAsiaTheme="minorEastAsia" w:hint="eastAsia"/>
          <w:b/>
          <w:lang w:eastAsia="ja-JP"/>
        </w:rPr>
        <w:t>M</w:t>
      </w:r>
      <w:r w:rsidR="00FD5FC9" w:rsidRPr="00FD5FC9">
        <w:rPr>
          <w:rFonts w:eastAsiaTheme="minorEastAsia"/>
          <w:b/>
          <w:lang w:eastAsia="ja-JP"/>
        </w:rPr>
        <w:t>ethod G</w:t>
      </w:r>
      <w:r w:rsidR="00FD5FC9" w:rsidRPr="00FD5FC9">
        <w:rPr>
          <w:rFonts w:eastAsiaTheme="minorEastAsia"/>
          <w:lang w:eastAsia="ja-JP"/>
        </w:rPr>
        <w:t xml:space="preserve">: </w:t>
      </w:r>
      <w:r w:rsidR="00FD5FC9" w:rsidRPr="00FD5FC9">
        <w:rPr>
          <w:rFonts w:eastAsia="SimSun"/>
        </w:rPr>
        <w:t xml:space="preserve">Adding a new footnote RR No. </w:t>
      </w:r>
      <w:r w:rsidR="00FD5FC9" w:rsidRPr="00FD5FC9">
        <w:rPr>
          <w:rFonts w:eastAsia="SimSun"/>
          <w:b/>
          <w:bCs/>
        </w:rPr>
        <w:t>5.</w:t>
      </w:r>
      <w:r w:rsidR="00AD0E7B">
        <w:rPr>
          <w:rFonts w:eastAsia="SimSun"/>
          <w:b/>
          <w:bCs/>
          <w:lang w:eastAsia="zh-CN"/>
        </w:rPr>
        <w:t>E</w:t>
      </w:r>
      <w:r w:rsidR="00FD5FC9" w:rsidRPr="00FD5FC9">
        <w:rPr>
          <w:rFonts w:eastAsia="SimSun"/>
          <w:b/>
          <w:bCs/>
        </w:rPr>
        <w:t xml:space="preserve">115 </w:t>
      </w:r>
      <w:r w:rsidR="00FD5FC9" w:rsidRPr="00FD5FC9">
        <w:rPr>
          <w:rFonts w:eastAsia="SimSun"/>
        </w:rPr>
        <w:t>is proposed for FS/LMS applications in portions of the 275</w:t>
      </w:r>
      <w:r w:rsidR="00FD5FC9" w:rsidRPr="00FD5FC9">
        <w:rPr>
          <w:rFonts w:eastAsia="SimSun"/>
        </w:rPr>
        <w:noBreakHyphen/>
        <w:t>450</w:t>
      </w:r>
      <w:r w:rsidR="00FD5FC9" w:rsidRPr="00FD5FC9">
        <w:rPr>
          <w:rFonts w:eastAsia="MS Mincho"/>
        </w:rPr>
        <w:t> </w:t>
      </w:r>
      <w:r w:rsidR="00FD5FC9" w:rsidRPr="00FD5FC9">
        <w:rPr>
          <w:rFonts w:eastAsia="SimSun"/>
        </w:rPr>
        <w:t>GHz band.</w:t>
      </w:r>
    </w:p>
    <w:p w:rsidR="00AD0E7B" w:rsidRDefault="00AD0E7B" w:rsidP="00C269D3">
      <w:pPr>
        <w:spacing w:after="120"/>
        <w:ind w:left="270"/>
        <w:rPr>
          <w:rFonts w:eastAsia="MS Mincho"/>
        </w:rPr>
      </w:pPr>
    </w:p>
    <w:p w:rsidR="00667CE0" w:rsidRPr="00B82DBC" w:rsidRDefault="00667CE0" w:rsidP="00B82DBC">
      <w:pPr>
        <w:pStyle w:val="ListParagraph"/>
        <w:numPr>
          <w:ilvl w:val="0"/>
          <w:numId w:val="21"/>
        </w:numPr>
        <w:spacing w:after="120"/>
        <w:rPr>
          <w:b/>
          <w:lang w:eastAsia="ko-KR"/>
        </w:rPr>
      </w:pPr>
      <w:r w:rsidRPr="00B82DBC">
        <w:rPr>
          <w:b/>
          <w:lang w:eastAsia="ko-KR"/>
        </w:rPr>
        <w:t>Documents</w:t>
      </w:r>
    </w:p>
    <w:p w:rsidR="00667CE0" w:rsidRPr="00B82DBC" w:rsidRDefault="00667CE0" w:rsidP="00B82DBC">
      <w:pPr>
        <w:pStyle w:val="ListParagraph"/>
        <w:numPr>
          <w:ilvl w:val="1"/>
          <w:numId w:val="21"/>
        </w:numPr>
        <w:rPr>
          <w:b/>
        </w:rPr>
      </w:pPr>
      <w:r w:rsidRPr="00B82DBC">
        <w:rPr>
          <w:b/>
          <w:lang w:val="en-NZ"/>
        </w:rPr>
        <w:t>Input Documents</w:t>
      </w:r>
    </w:p>
    <w:p w:rsidR="00060BC8" w:rsidRPr="00B82DBC" w:rsidRDefault="00E13357" w:rsidP="00B82DBC">
      <w:pPr>
        <w:rPr>
          <w:lang w:val="en-NZ"/>
        </w:rPr>
      </w:pPr>
      <w:r w:rsidRPr="00B82DBC">
        <w:rPr>
          <w:lang w:val="en-NZ"/>
        </w:rPr>
        <w:t>APG19-</w:t>
      </w:r>
      <w:r w:rsidR="00060BC8" w:rsidRPr="00B82DBC">
        <w:rPr>
          <w:lang w:val="en-NZ"/>
        </w:rPr>
        <w:t>5</w:t>
      </w:r>
      <w:r w:rsidRPr="00B82DBC">
        <w:rPr>
          <w:lang w:val="en-NZ"/>
        </w:rPr>
        <w:t>/INP-1</w:t>
      </w:r>
      <w:r w:rsidR="00060BC8" w:rsidRPr="00B82DBC">
        <w:rPr>
          <w:lang w:val="en-NZ"/>
        </w:rPr>
        <w:t>6</w:t>
      </w:r>
      <w:r w:rsidRPr="00B82DBC">
        <w:rPr>
          <w:lang w:val="en-NZ"/>
        </w:rPr>
        <w:t xml:space="preserve"> (</w:t>
      </w:r>
      <w:r w:rsidR="00060BC8" w:rsidRPr="00B82DBC">
        <w:rPr>
          <w:lang w:val="en-NZ"/>
        </w:rPr>
        <w:t>NZL</w:t>
      </w:r>
      <w:r w:rsidRPr="00B82DBC">
        <w:rPr>
          <w:lang w:val="en-NZ"/>
        </w:rPr>
        <w:t xml:space="preserve">), </w:t>
      </w:r>
      <w:r w:rsidR="00060BC8" w:rsidRPr="00B82DBC">
        <w:rPr>
          <w:lang w:val="en-NZ"/>
        </w:rPr>
        <w:t>INP-42 (AUS), INP-65 (CHN), INP-74 (JPN), INP-102 (THA)</w:t>
      </w:r>
    </w:p>
    <w:p w:rsidR="00E13357" w:rsidRDefault="00E13357" w:rsidP="00402333">
      <w:pPr>
        <w:pStyle w:val="ListParagraph"/>
        <w:ind w:left="630"/>
        <w:rPr>
          <w:lang w:val="en-NZ"/>
        </w:rPr>
      </w:pPr>
    </w:p>
    <w:p w:rsidR="00667CE0" w:rsidRPr="00B82DBC" w:rsidRDefault="00667CE0" w:rsidP="00B82DBC">
      <w:pPr>
        <w:pStyle w:val="ListParagraph"/>
        <w:numPr>
          <w:ilvl w:val="1"/>
          <w:numId w:val="21"/>
        </w:numPr>
        <w:rPr>
          <w:b/>
          <w:lang w:val="en-NZ"/>
        </w:rPr>
      </w:pPr>
      <w:r w:rsidRPr="00B82DBC">
        <w:rPr>
          <w:b/>
          <w:lang w:val="en-NZ"/>
        </w:rPr>
        <w:t xml:space="preserve">Information Documents </w:t>
      </w:r>
    </w:p>
    <w:p w:rsidR="00667CE0" w:rsidRPr="00B82DBC" w:rsidRDefault="00AE706A" w:rsidP="00B82DBC">
      <w:pPr>
        <w:rPr>
          <w:lang w:val="en-NZ"/>
        </w:rPr>
      </w:pPr>
      <w:r w:rsidRPr="00B82DBC">
        <w:rPr>
          <w:lang w:val="en-NZ"/>
        </w:rPr>
        <w:t>APG19-5/INF-01 (WMO), INF-02 (ICAO), INF-03 (IARU), INF-18 (CEPT), INF-19 (ATU), INF-20 (CITEL), INF-22 (RCC)</w:t>
      </w:r>
    </w:p>
    <w:p w:rsidR="00667CE0" w:rsidRPr="008564F2" w:rsidRDefault="00667CE0" w:rsidP="00402333">
      <w:pPr>
        <w:rPr>
          <w:lang w:val="en-NZ"/>
        </w:rPr>
      </w:pPr>
    </w:p>
    <w:p w:rsidR="00060BC8" w:rsidRPr="0018711B" w:rsidRDefault="00060BC8" w:rsidP="00402333">
      <w:pPr>
        <w:rPr>
          <w:lang w:val="en-NZ"/>
        </w:rPr>
      </w:pPr>
    </w:p>
    <w:p w:rsidR="00667CE0" w:rsidRPr="00B82DBC" w:rsidRDefault="00667CE0" w:rsidP="00B82DBC">
      <w:pPr>
        <w:pStyle w:val="ListParagraph"/>
        <w:numPr>
          <w:ilvl w:val="0"/>
          <w:numId w:val="21"/>
        </w:numPr>
        <w:spacing w:after="120"/>
        <w:rPr>
          <w:b/>
          <w:lang w:eastAsia="ko-KR"/>
        </w:rPr>
      </w:pPr>
      <w:r w:rsidRPr="00B82DBC">
        <w:rPr>
          <w:b/>
          <w:lang w:eastAsia="ko-KR"/>
        </w:rPr>
        <w:t>Summary of Discussions</w:t>
      </w:r>
    </w:p>
    <w:p w:rsidR="00667CE0" w:rsidRPr="00B82DBC" w:rsidRDefault="00667CE0" w:rsidP="00B82DBC">
      <w:pPr>
        <w:pStyle w:val="ListParagraph"/>
        <w:numPr>
          <w:ilvl w:val="1"/>
          <w:numId w:val="21"/>
        </w:numPr>
        <w:rPr>
          <w:b/>
          <w:lang w:val="en-NZ" w:eastAsia="ko-KR"/>
        </w:rPr>
      </w:pPr>
      <w:r w:rsidRPr="00B82DBC">
        <w:rPr>
          <w:b/>
          <w:lang w:val="en-NZ" w:eastAsia="ko-KR"/>
        </w:rPr>
        <w:t>S</w:t>
      </w:r>
      <w:r w:rsidRPr="00B82DBC">
        <w:rPr>
          <w:rFonts w:hint="eastAsia"/>
          <w:b/>
          <w:lang w:val="en-NZ" w:eastAsia="ko-KR"/>
        </w:rPr>
        <w:t xml:space="preserve">ummary </w:t>
      </w:r>
      <w:r w:rsidRPr="00B82DBC">
        <w:rPr>
          <w:b/>
          <w:lang w:val="en-NZ" w:eastAsia="ko-KR"/>
        </w:rPr>
        <w:t>of Members’ view</w:t>
      </w:r>
    </w:p>
    <w:p w:rsidR="00DE273D" w:rsidRPr="00B82DBC" w:rsidRDefault="00DE273D" w:rsidP="00B82DBC">
      <w:pPr>
        <w:rPr>
          <w:b/>
          <w:lang w:val="en-NZ" w:eastAsia="ko-KR"/>
        </w:rPr>
      </w:pPr>
      <w:r w:rsidRPr="00B82DBC">
        <w:rPr>
          <w:lang w:val="en-NZ" w:eastAsia="ko-KR"/>
        </w:rPr>
        <w:t>This section summarizes the views of each Member’s input contribution</w:t>
      </w:r>
      <w:r w:rsidR="00F31077" w:rsidRPr="00B82DBC">
        <w:rPr>
          <w:lang w:val="en-NZ" w:eastAsia="ko-KR"/>
        </w:rPr>
        <w:t xml:space="preserve"> and respective proposals</w:t>
      </w:r>
      <w:r w:rsidRPr="00B82DBC">
        <w:rPr>
          <w:lang w:val="en-NZ" w:eastAsia="ko-KR"/>
        </w:rPr>
        <w:t>. Views from Members were quoted in this summary.</w:t>
      </w:r>
    </w:p>
    <w:p w:rsidR="00DE273D" w:rsidRPr="00B82DBC" w:rsidRDefault="00DE273D" w:rsidP="00B82DBC">
      <w:pPr>
        <w:rPr>
          <w:b/>
          <w:lang w:val="en-NZ" w:eastAsia="ko-KR"/>
        </w:rPr>
      </w:pPr>
    </w:p>
    <w:p w:rsidR="00DE273D" w:rsidRPr="00B82DBC" w:rsidRDefault="004F47E8" w:rsidP="00B82DBC">
      <w:pPr>
        <w:pStyle w:val="ListParagraph"/>
        <w:numPr>
          <w:ilvl w:val="2"/>
          <w:numId w:val="21"/>
        </w:numPr>
        <w:rPr>
          <w:b/>
          <w:lang w:val="en-NZ" w:eastAsia="ko-KR"/>
        </w:rPr>
      </w:pPr>
      <w:r w:rsidRPr="00B82DBC">
        <w:rPr>
          <w:b/>
          <w:lang w:val="en-NZ" w:eastAsia="ko-KR"/>
        </w:rPr>
        <w:t xml:space="preserve">New Zealand </w:t>
      </w:r>
      <w:r w:rsidR="00AA2C45" w:rsidRPr="00B82DBC">
        <w:rPr>
          <w:b/>
          <w:lang w:val="en-NZ" w:eastAsia="ko-KR"/>
        </w:rPr>
        <w:t>(</w:t>
      </w:r>
      <w:r w:rsidR="00AA2C45" w:rsidRPr="00B82DBC">
        <w:rPr>
          <w:b/>
          <w:lang w:val="en-NZ"/>
        </w:rPr>
        <w:t>APG19-</w:t>
      </w:r>
      <w:r w:rsidRPr="00B82DBC">
        <w:rPr>
          <w:b/>
          <w:lang w:val="en-NZ"/>
        </w:rPr>
        <w:t>5</w:t>
      </w:r>
      <w:r w:rsidR="00AA2C45" w:rsidRPr="00B82DBC">
        <w:rPr>
          <w:b/>
          <w:lang w:val="en-NZ"/>
        </w:rPr>
        <w:t>/</w:t>
      </w:r>
      <w:r w:rsidR="00AA2C45" w:rsidRPr="00B82DBC">
        <w:rPr>
          <w:b/>
          <w:lang w:val="en-NZ" w:eastAsia="ko-KR"/>
        </w:rPr>
        <w:t>INP-1</w:t>
      </w:r>
      <w:r w:rsidRPr="00B82DBC">
        <w:rPr>
          <w:b/>
          <w:lang w:val="en-NZ" w:eastAsia="ko-KR"/>
        </w:rPr>
        <w:t>6</w:t>
      </w:r>
      <w:r w:rsidR="00AA2C45" w:rsidRPr="00B82DBC">
        <w:rPr>
          <w:b/>
          <w:lang w:val="en-NZ" w:eastAsia="ko-KR"/>
        </w:rPr>
        <w:t>)</w:t>
      </w:r>
    </w:p>
    <w:p w:rsidR="00AA2C45" w:rsidRPr="00B82DBC" w:rsidRDefault="00AF4635" w:rsidP="00B82DBC">
      <w:pPr>
        <w:rPr>
          <w:b/>
          <w:lang w:val="en-NZ" w:eastAsia="ko-KR"/>
        </w:rPr>
      </w:pPr>
      <w:r w:rsidRPr="00B82DBC">
        <w:rPr>
          <w:lang w:val="en-NZ"/>
        </w:rPr>
        <w:t>“</w:t>
      </w:r>
      <w:r w:rsidR="004F47E8" w:rsidRPr="00B82DBC">
        <w:rPr>
          <w:lang w:val="en-NZ"/>
        </w:rPr>
        <w:t xml:space="preserve">New Zealand supports the allocation of fixed and land mobile services in portions of the 275-450 GHz band to facilitate the development of innovative radiocommunication technologies utilising frequency range above 275 GHz by active services, such as fixed and land-mobile services, as long as such active service applications would not cause harmful interference to those passive service applications as indicated in RR No. </w:t>
      </w:r>
      <w:r w:rsidR="004F47E8" w:rsidRPr="00B82DBC">
        <w:rPr>
          <w:b/>
          <w:lang w:val="en-NZ"/>
        </w:rPr>
        <w:t>5.565</w:t>
      </w:r>
      <w:r w:rsidR="004F47E8" w:rsidRPr="00B82DBC">
        <w:rPr>
          <w:lang w:val="en-NZ"/>
        </w:rPr>
        <w:t>. New Zealand could support Methods C or F as outlined in the CPM Report.</w:t>
      </w:r>
      <w:r w:rsidRPr="00B82DBC">
        <w:rPr>
          <w:lang w:val="en-NZ"/>
        </w:rPr>
        <w:t>”</w:t>
      </w:r>
    </w:p>
    <w:p w:rsidR="004F47E8" w:rsidRPr="00AA2C45" w:rsidRDefault="004F47E8" w:rsidP="00402333">
      <w:pPr>
        <w:ind w:left="630"/>
        <w:rPr>
          <w:b/>
          <w:lang w:val="en-NZ" w:eastAsia="ko-KR"/>
        </w:rPr>
      </w:pPr>
    </w:p>
    <w:p w:rsidR="00AA2C45" w:rsidRPr="00B82DBC" w:rsidRDefault="004F47E8" w:rsidP="00B82DBC">
      <w:pPr>
        <w:pStyle w:val="ListParagraph"/>
        <w:numPr>
          <w:ilvl w:val="2"/>
          <w:numId w:val="21"/>
        </w:numPr>
        <w:rPr>
          <w:b/>
          <w:lang w:val="en-NZ" w:eastAsia="ko-KR"/>
        </w:rPr>
      </w:pPr>
      <w:r w:rsidRPr="00B82DBC">
        <w:rPr>
          <w:b/>
          <w:lang w:val="en-NZ" w:eastAsia="ko-KR"/>
        </w:rPr>
        <w:t xml:space="preserve">Australia </w:t>
      </w:r>
      <w:r w:rsidR="00AA2C45" w:rsidRPr="00B82DBC">
        <w:rPr>
          <w:b/>
          <w:lang w:val="en-NZ" w:eastAsia="ko-KR"/>
        </w:rPr>
        <w:t>(</w:t>
      </w:r>
      <w:r w:rsidR="00AA2C45" w:rsidRPr="00B82DBC">
        <w:rPr>
          <w:b/>
          <w:lang w:val="en-NZ"/>
        </w:rPr>
        <w:t>APG19-</w:t>
      </w:r>
      <w:r w:rsidRPr="00B82DBC">
        <w:rPr>
          <w:b/>
          <w:lang w:val="en-NZ"/>
        </w:rPr>
        <w:t>5</w:t>
      </w:r>
      <w:r w:rsidR="00AA2C45" w:rsidRPr="00B82DBC">
        <w:rPr>
          <w:b/>
          <w:lang w:val="en-NZ"/>
        </w:rPr>
        <w:t>/</w:t>
      </w:r>
      <w:r w:rsidR="00AA2C45" w:rsidRPr="00B82DBC">
        <w:rPr>
          <w:b/>
          <w:lang w:val="en-NZ" w:eastAsia="ko-KR"/>
        </w:rPr>
        <w:t>INP-</w:t>
      </w:r>
      <w:r w:rsidRPr="00B82DBC">
        <w:rPr>
          <w:b/>
          <w:lang w:val="en-NZ" w:eastAsia="ko-KR"/>
        </w:rPr>
        <w:t>4</w:t>
      </w:r>
      <w:r w:rsidR="00AA2C45" w:rsidRPr="00B82DBC">
        <w:rPr>
          <w:b/>
          <w:lang w:val="en-NZ" w:eastAsia="ko-KR"/>
        </w:rPr>
        <w:t>2)</w:t>
      </w:r>
    </w:p>
    <w:p w:rsidR="00B82DBC" w:rsidRDefault="00AF4635" w:rsidP="00B82DBC">
      <w:pPr>
        <w:rPr>
          <w:rFonts w:eastAsia="Times New Roman"/>
          <w:lang w:val="en-AU"/>
        </w:rPr>
      </w:pPr>
      <w:r w:rsidRPr="00B82DBC">
        <w:rPr>
          <w:rFonts w:eastAsia="Times New Roman"/>
          <w:lang w:val="en-AU"/>
        </w:rPr>
        <w:t>“</w:t>
      </w:r>
      <w:r w:rsidR="004F47E8" w:rsidRPr="00B82DBC">
        <w:rPr>
          <w:rFonts w:eastAsia="Times New Roman"/>
          <w:lang w:val="en-AU"/>
        </w:rPr>
        <w:t>Australia supports Method G for this agenda item. That is, identify frequency bands that are compatible with both EESS (passive) and RAS with respect to the land-mobile and fixed services applications in a new footnote in the Radio Regulations.</w:t>
      </w:r>
    </w:p>
    <w:p w:rsidR="00AA2C45" w:rsidRPr="00B82DBC" w:rsidRDefault="004F47E8" w:rsidP="00B82DBC">
      <w:pPr>
        <w:rPr>
          <w:rFonts w:eastAsia="Times New Roman"/>
          <w:lang w:val="en-AU"/>
        </w:rPr>
      </w:pPr>
      <w:r w:rsidRPr="00B82DBC">
        <w:rPr>
          <w:rFonts w:eastAsia="Times New Roman"/>
          <w:lang w:val="en-AU"/>
        </w:rPr>
        <w:t>Preliminary studies show compatibility between EESS (passive) and RAS in all bands in the range 275-450 GHz except 296-306 GHz, 313-320 GHz and 331-356 GHz. The bands proposed by Method G avoid these ranges and provide for 58 GHz of spectrum, which is more than the 50 GHz estimated by Study Group 5 needed to support active services.</w:t>
      </w:r>
      <w:r w:rsidR="005320E3" w:rsidRPr="00B82DBC">
        <w:rPr>
          <w:rFonts w:eastAsia="Times New Roman"/>
          <w:lang w:val="en-AU"/>
        </w:rPr>
        <w:t>”</w:t>
      </w:r>
    </w:p>
    <w:p w:rsidR="00AA2C45" w:rsidRDefault="00AA2C45" w:rsidP="00402333">
      <w:pPr>
        <w:pStyle w:val="ListParagraph"/>
        <w:ind w:left="1350"/>
        <w:contextualSpacing w:val="0"/>
        <w:rPr>
          <w:b/>
          <w:lang w:val="en-NZ" w:eastAsia="ko-KR"/>
        </w:rPr>
      </w:pPr>
    </w:p>
    <w:p w:rsidR="00AA2C45" w:rsidRPr="00B82DBC" w:rsidRDefault="00AF4635" w:rsidP="00B82DBC">
      <w:pPr>
        <w:pStyle w:val="ListParagraph"/>
        <w:numPr>
          <w:ilvl w:val="2"/>
          <w:numId w:val="21"/>
        </w:numPr>
        <w:rPr>
          <w:b/>
          <w:lang w:val="en-NZ" w:eastAsia="ko-KR"/>
        </w:rPr>
      </w:pPr>
      <w:r w:rsidRPr="00B82DBC">
        <w:rPr>
          <w:b/>
          <w:lang w:val="en-NZ" w:eastAsia="ko-KR"/>
        </w:rPr>
        <w:t>China</w:t>
      </w:r>
      <w:r w:rsidR="00AA2C45" w:rsidRPr="00B82DBC">
        <w:rPr>
          <w:b/>
          <w:lang w:val="en-NZ" w:eastAsia="ko-KR"/>
        </w:rPr>
        <w:t xml:space="preserve"> (</w:t>
      </w:r>
      <w:r w:rsidR="00AA2C45" w:rsidRPr="00B82DBC">
        <w:rPr>
          <w:b/>
          <w:lang w:val="en-NZ"/>
        </w:rPr>
        <w:t>APG19-</w:t>
      </w:r>
      <w:r w:rsidRPr="00B82DBC">
        <w:rPr>
          <w:b/>
          <w:lang w:val="en-NZ"/>
        </w:rPr>
        <w:t>5</w:t>
      </w:r>
      <w:r w:rsidR="00AA2C45" w:rsidRPr="00B82DBC">
        <w:rPr>
          <w:b/>
          <w:lang w:val="en-NZ"/>
        </w:rPr>
        <w:t>/</w:t>
      </w:r>
      <w:r w:rsidR="00AA2C45" w:rsidRPr="00B82DBC">
        <w:rPr>
          <w:b/>
          <w:lang w:val="en-NZ" w:eastAsia="ko-KR"/>
        </w:rPr>
        <w:t>INP-</w:t>
      </w:r>
      <w:r w:rsidRPr="00B82DBC">
        <w:rPr>
          <w:b/>
          <w:lang w:val="en-NZ" w:eastAsia="ko-KR"/>
        </w:rPr>
        <w:t>65</w:t>
      </w:r>
      <w:r w:rsidR="00AA2C45" w:rsidRPr="00B82DBC">
        <w:rPr>
          <w:b/>
          <w:lang w:val="en-NZ" w:eastAsia="ko-KR"/>
        </w:rPr>
        <w:t>)</w:t>
      </w:r>
    </w:p>
    <w:p w:rsidR="00D52AAD" w:rsidRPr="00451247" w:rsidRDefault="00B82DBC" w:rsidP="00B82DBC">
      <w:pPr>
        <w:spacing w:beforeLines="50" w:before="120" w:afterLines="50" w:after="120"/>
      </w:pPr>
      <w:r>
        <w:rPr>
          <w:rFonts w:hint="eastAsia"/>
        </w:rPr>
        <w:t xml:space="preserve"> </w:t>
      </w:r>
      <w:r w:rsidR="00D52AAD">
        <w:rPr>
          <w:rFonts w:hint="eastAsia"/>
        </w:rPr>
        <w:t>(1) Relevant ITU-R s</w:t>
      </w:r>
      <w:r w:rsidR="00D52AAD" w:rsidRPr="00451247">
        <w:t xml:space="preserve">tudies </w:t>
      </w:r>
      <w:r w:rsidR="00D52AAD">
        <w:rPr>
          <w:rFonts w:hint="eastAsia"/>
        </w:rPr>
        <w:t>which</w:t>
      </w:r>
      <w:r w:rsidR="00D52AAD" w:rsidRPr="00451247">
        <w:t xml:space="preserve"> evaluated the entire 275-450 GHz range show </w:t>
      </w:r>
      <w:r w:rsidR="00D52AAD">
        <w:rPr>
          <w:rFonts w:hint="eastAsia"/>
        </w:rPr>
        <w:t xml:space="preserve">that </w:t>
      </w:r>
      <w:r w:rsidR="00D52AAD" w:rsidRPr="00451247">
        <w:t>sharing is feasible between fixed service/land mobile service applications and the EESS (passive)/RAS in the</w:t>
      </w:r>
      <w:r w:rsidR="00D52AAD">
        <w:rPr>
          <w:rFonts w:hint="eastAsia"/>
        </w:rPr>
        <w:t xml:space="preserve"> </w:t>
      </w:r>
      <w:r w:rsidR="00D52AAD" w:rsidRPr="00DC20F7">
        <w:t xml:space="preserve">frequency bands 275-296 GHz, 306-313 </w:t>
      </w:r>
      <w:r w:rsidR="00D52AAD">
        <w:t>GHz, 320-330 GHz and 356 450 GH</w:t>
      </w:r>
      <w:r w:rsidR="00D52AAD">
        <w:rPr>
          <w:rFonts w:hint="eastAsia"/>
        </w:rPr>
        <w:t xml:space="preserve">z. </w:t>
      </w:r>
      <w:r w:rsidR="00D52AAD" w:rsidRPr="00451247">
        <w:t>For the other frequency bands</w:t>
      </w:r>
      <w:r w:rsidR="00D52AAD">
        <w:rPr>
          <w:rFonts w:hint="eastAsia"/>
        </w:rPr>
        <w:t>,</w:t>
      </w:r>
      <w:r w:rsidR="00D52AAD" w:rsidRPr="00451247">
        <w:t xml:space="preserve"> current studies have shown that sharing between FS/LMS applications and EESS (passive)/RAS applications is not feasible. </w:t>
      </w:r>
    </w:p>
    <w:p w:rsidR="00D52AAD" w:rsidRDefault="00D52AAD" w:rsidP="00B82DBC">
      <w:pPr>
        <w:spacing w:beforeLines="50" w:before="120" w:afterLines="50" w:after="120"/>
      </w:pPr>
      <w:r>
        <w:rPr>
          <w:rFonts w:hint="eastAsia"/>
        </w:rPr>
        <w:t xml:space="preserve">(2) </w:t>
      </w:r>
      <w:r w:rsidRPr="00DC20F7">
        <w:t xml:space="preserve">Administrations wishing to make these above-mentioned frequency bands available for land mobile and/or fixed service applications are urged to take all practicable steps to protect passive services operating according to </w:t>
      </w:r>
      <w:r w:rsidRPr="00B82DBC">
        <w:rPr>
          <w:b/>
        </w:rPr>
        <w:t>No. 5.565</w:t>
      </w:r>
      <w:r w:rsidRPr="00DC20F7">
        <w:t xml:space="preserve"> until the date when the Table of Frequency Allocations is established in the 275-1 000 GHz frequency range. </w:t>
      </w:r>
    </w:p>
    <w:p w:rsidR="00D52AAD" w:rsidRDefault="00D52AAD" w:rsidP="00B82DBC">
      <w:pPr>
        <w:spacing w:beforeLines="50" w:before="120" w:afterLines="50" w:after="120"/>
      </w:pPr>
      <w:r>
        <w:rPr>
          <w:rFonts w:hint="eastAsia"/>
        </w:rPr>
        <w:lastRenderedPageBreak/>
        <w:t xml:space="preserve">(3) </w:t>
      </w:r>
      <w:r w:rsidRPr="00DC20F7">
        <w:t>In the frequency bands 275-323 GHz, 3</w:t>
      </w:r>
      <w:r>
        <w:t>27-371 GHz, 388-424 GHz and 426</w:t>
      </w:r>
      <w:r>
        <w:rPr>
          <w:rFonts w:hint="eastAsia"/>
        </w:rPr>
        <w:t>-</w:t>
      </w:r>
      <w:r w:rsidRPr="00DC20F7">
        <w:t>442 GHz, some specific conditions (e.g. minimum separation distances and/or avoidance angles) may be necessary to ensure protection of radio astronomy sites from land mobile and/or fixed service applications, on a case-by-case basis.</w:t>
      </w:r>
    </w:p>
    <w:p w:rsidR="00D52AAD" w:rsidRDefault="00D52AAD" w:rsidP="00B82DBC">
      <w:pPr>
        <w:spacing w:beforeLines="50" w:before="120" w:afterLines="50" w:after="120"/>
      </w:pPr>
      <w:r>
        <w:rPr>
          <w:rFonts w:hint="eastAsia"/>
        </w:rPr>
        <w:t>(4) T</w:t>
      </w:r>
      <w:r>
        <w:t xml:space="preserve">aking into account that </w:t>
      </w:r>
      <w:r w:rsidRPr="00451247">
        <w:t>the Terahertz technology is evolving continuously and new applications are foreseen to use some parts of 275-450 GHz in the future, therefore the identification for the FS/LMS in this frequency range should not cause constrains to the use of these new applications in the future.</w:t>
      </w:r>
      <w:r>
        <w:rPr>
          <w:rFonts w:hint="eastAsia"/>
        </w:rPr>
        <w:t xml:space="preserve"> Accordingly, the</w:t>
      </w:r>
      <w:r w:rsidRPr="00106722">
        <w:t xml:space="preserve"> use of the range 275-450 GHz by land mobile and f</w:t>
      </w:r>
      <w:r>
        <w:t>ixed services application</w:t>
      </w:r>
      <w:r w:rsidRPr="00106722">
        <w:t xml:space="preserve"> does not establish priority in the Radio Regulations.</w:t>
      </w:r>
    </w:p>
    <w:p w:rsidR="00D52AAD" w:rsidRDefault="00D52AAD" w:rsidP="00B82DBC">
      <w:pPr>
        <w:spacing w:beforeLines="50" w:before="120" w:afterLines="50" w:after="120"/>
      </w:pPr>
      <w:r>
        <w:rPr>
          <w:rFonts w:hint="eastAsia"/>
        </w:rPr>
        <w:t>China</w:t>
      </w:r>
      <w:r w:rsidRPr="0016602F">
        <w:t xml:space="preserve"> </w:t>
      </w:r>
      <w:r w:rsidRPr="0016602F">
        <w:rPr>
          <w:rFonts w:hint="eastAsia"/>
        </w:rPr>
        <w:t xml:space="preserve">also </w:t>
      </w:r>
      <w:r w:rsidRPr="00E47307">
        <w:t>provide</w:t>
      </w:r>
      <w:r>
        <w:rPr>
          <w:rFonts w:hint="eastAsia"/>
        </w:rPr>
        <w:t>s</w:t>
      </w:r>
      <w:r w:rsidRPr="00E47307">
        <w:t xml:space="preserve"> proposals </w:t>
      </w:r>
      <w:r>
        <w:t>for the PACP on Agenda Item 1.1</w:t>
      </w:r>
      <w:r>
        <w:rPr>
          <w:rFonts w:hint="eastAsia"/>
        </w:rPr>
        <w:t xml:space="preserve">5 (a revised Method E is supported) </w:t>
      </w:r>
    </w:p>
    <w:p w:rsidR="00B514EE" w:rsidRPr="00B82DBC" w:rsidRDefault="00B514EE" w:rsidP="00B82DBC">
      <w:pPr>
        <w:rPr>
          <w:b/>
          <w:lang w:eastAsia="ko-KR"/>
        </w:rPr>
      </w:pPr>
    </w:p>
    <w:p w:rsidR="00806638" w:rsidRPr="00B82DBC" w:rsidRDefault="00806638" w:rsidP="00B82DBC">
      <w:pPr>
        <w:pStyle w:val="ListParagraph"/>
        <w:numPr>
          <w:ilvl w:val="2"/>
          <w:numId w:val="21"/>
        </w:numPr>
        <w:rPr>
          <w:b/>
          <w:lang w:val="en-NZ" w:eastAsia="ko-KR"/>
        </w:rPr>
      </w:pPr>
      <w:r w:rsidRPr="00B82DBC">
        <w:rPr>
          <w:b/>
          <w:lang w:val="en-NZ" w:eastAsia="ko-KR"/>
        </w:rPr>
        <w:t>Japan (</w:t>
      </w:r>
      <w:r w:rsidRPr="00B82DBC">
        <w:rPr>
          <w:b/>
          <w:lang w:val="en-NZ"/>
        </w:rPr>
        <w:t>APG19-</w:t>
      </w:r>
      <w:r w:rsidR="00AF4635" w:rsidRPr="00B82DBC">
        <w:rPr>
          <w:b/>
          <w:lang w:val="en-NZ"/>
        </w:rPr>
        <w:t>5</w:t>
      </w:r>
      <w:r w:rsidRPr="00B82DBC">
        <w:rPr>
          <w:b/>
          <w:lang w:val="en-NZ"/>
        </w:rPr>
        <w:t>/</w:t>
      </w:r>
      <w:r w:rsidRPr="00B82DBC">
        <w:rPr>
          <w:b/>
          <w:lang w:val="en-NZ" w:eastAsia="ko-KR"/>
        </w:rPr>
        <w:t>INP-</w:t>
      </w:r>
      <w:r w:rsidR="00AF4635" w:rsidRPr="00B82DBC">
        <w:rPr>
          <w:b/>
          <w:lang w:val="en-NZ" w:eastAsia="ko-KR"/>
        </w:rPr>
        <w:t>74</w:t>
      </w:r>
      <w:r w:rsidRPr="00B82DBC">
        <w:rPr>
          <w:b/>
          <w:lang w:val="en-NZ" w:eastAsia="ko-KR"/>
        </w:rPr>
        <w:t>)</w:t>
      </w:r>
    </w:p>
    <w:p w:rsidR="00AF4635" w:rsidRDefault="005320E3" w:rsidP="00A24762">
      <w:pPr>
        <w:spacing w:after="120"/>
      </w:pPr>
      <w:r>
        <w:t>“</w:t>
      </w:r>
      <w:r w:rsidR="00AF4635">
        <w:t>Japan</w:t>
      </w:r>
      <w:r w:rsidR="00AF4635" w:rsidRPr="008022C6">
        <w:t xml:space="preserve"> support</w:t>
      </w:r>
      <w:r w:rsidR="00AF4635">
        <w:t>s</w:t>
      </w:r>
      <w:r w:rsidR="00AF4635" w:rsidRPr="008022C6">
        <w:t xml:space="preserve"> the ITU-R studies to consider identification of frequency bands for use by the land-mobile and fixed service applications operating in the frequency range 275-450 GHz, </w:t>
      </w:r>
      <w:r w:rsidR="00AF4635">
        <w:t xml:space="preserve">taking into account the study results conducted by </w:t>
      </w:r>
      <w:r w:rsidR="00AF4635" w:rsidRPr="00A24762">
        <w:rPr>
          <w:rFonts w:eastAsiaTheme="minorEastAsia" w:hint="eastAsia"/>
          <w:lang w:eastAsia="ja-JP"/>
        </w:rPr>
        <w:t>t</w:t>
      </w:r>
      <w:r w:rsidR="00AF4635" w:rsidRPr="00A24762">
        <w:rPr>
          <w:rFonts w:eastAsiaTheme="minorEastAsia"/>
          <w:lang w:eastAsia="ja-JP"/>
        </w:rPr>
        <w:t>he relevant Working Parties</w:t>
      </w:r>
      <w:r w:rsidR="00AF4635">
        <w:t xml:space="preserve">, </w:t>
      </w:r>
      <w:r w:rsidR="00AF4635" w:rsidRPr="008022C6">
        <w:t xml:space="preserve">provided that the protection of passive services identified in No.5.565 is ensured. </w:t>
      </w:r>
      <w:r w:rsidR="00AF4635">
        <w:t>Japan is of the view that</w:t>
      </w:r>
      <w:r w:rsidR="00AF4635" w:rsidRPr="008022C6">
        <w:t xml:space="preserve"> a new footnote to the relevant part of the Radio Regulations</w:t>
      </w:r>
      <w:r w:rsidR="00AF4635">
        <w:t xml:space="preserve"> is added to identify those frequency bands </w:t>
      </w:r>
      <w:r w:rsidR="00AF4635" w:rsidRPr="008022C6">
        <w:t>for use by the land-mobile and fixed service application.</w:t>
      </w:r>
    </w:p>
    <w:p w:rsidR="00806638" w:rsidRPr="00806638" w:rsidRDefault="00806638" w:rsidP="00402333">
      <w:pPr>
        <w:pStyle w:val="ListParagraph"/>
        <w:rPr>
          <w:b/>
          <w:lang w:val="en-NZ" w:eastAsia="ko-KR"/>
        </w:rPr>
      </w:pPr>
    </w:p>
    <w:p w:rsidR="00806638" w:rsidRPr="00A24762" w:rsidRDefault="00AF4635" w:rsidP="00A24762">
      <w:pPr>
        <w:pStyle w:val="ListParagraph"/>
        <w:numPr>
          <w:ilvl w:val="2"/>
          <w:numId w:val="21"/>
        </w:numPr>
        <w:rPr>
          <w:b/>
          <w:lang w:val="en-NZ" w:eastAsia="ko-KR"/>
        </w:rPr>
      </w:pPr>
      <w:r w:rsidRPr="00A24762">
        <w:rPr>
          <w:b/>
          <w:lang w:val="en-NZ" w:eastAsia="ko-KR"/>
        </w:rPr>
        <w:t xml:space="preserve">Thailand </w:t>
      </w:r>
      <w:r w:rsidR="00806638" w:rsidRPr="00A24762">
        <w:rPr>
          <w:b/>
          <w:lang w:val="en-NZ" w:eastAsia="ko-KR"/>
        </w:rPr>
        <w:t>(</w:t>
      </w:r>
      <w:r w:rsidR="00806638" w:rsidRPr="00A24762">
        <w:rPr>
          <w:b/>
          <w:lang w:val="en-NZ"/>
        </w:rPr>
        <w:t>APG19-</w:t>
      </w:r>
      <w:r w:rsidRPr="00A24762">
        <w:rPr>
          <w:b/>
          <w:lang w:val="en-NZ"/>
        </w:rPr>
        <w:t>5</w:t>
      </w:r>
      <w:r w:rsidR="00806638" w:rsidRPr="00A24762">
        <w:rPr>
          <w:b/>
          <w:lang w:val="en-NZ"/>
        </w:rPr>
        <w:t>/</w:t>
      </w:r>
      <w:r w:rsidR="00806638" w:rsidRPr="00A24762">
        <w:rPr>
          <w:b/>
          <w:lang w:val="en-NZ" w:eastAsia="ko-KR"/>
        </w:rPr>
        <w:t>INP-</w:t>
      </w:r>
      <w:r w:rsidRPr="00A24762">
        <w:rPr>
          <w:b/>
          <w:lang w:val="en-NZ" w:eastAsia="ko-KR"/>
        </w:rPr>
        <w:t>102</w:t>
      </w:r>
      <w:r w:rsidR="00806638" w:rsidRPr="00A24762">
        <w:rPr>
          <w:b/>
          <w:lang w:val="en-NZ" w:eastAsia="ko-KR"/>
        </w:rPr>
        <w:t>)</w:t>
      </w:r>
    </w:p>
    <w:p w:rsidR="00AF4635" w:rsidRPr="002A4C3A" w:rsidRDefault="0052596B" w:rsidP="00A24762">
      <w:r>
        <w:t>“</w:t>
      </w:r>
      <w:r w:rsidR="00AF4635" w:rsidRPr="002A4C3A">
        <w:t xml:space="preserve">Thailand </w:t>
      </w:r>
      <w:r w:rsidR="00AF4635" w:rsidRPr="002A4C3A">
        <w:rPr>
          <w:lang w:val="en-GB"/>
        </w:rPr>
        <w:t xml:space="preserve">supports </w:t>
      </w:r>
      <w:r w:rsidR="00AF4635" w:rsidRPr="002A4C3A">
        <w:t>the</w:t>
      </w:r>
      <w:r w:rsidR="00AF4635" w:rsidRPr="002A4C3A">
        <w:rPr>
          <w:cs/>
          <w:lang w:bidi="th-TH"/>
        </w:rPr>
        <w:t xml:space="preserve"> </w:t>
      </w:r>
      <w:r w:rsidR="00AF4635" w:rsidRPr="002A4C3A">
        <w:rPr>
          <w:lang w:val="en-GB"/>
        </w:rPr>
        <w:t>identification</w:t>
      </w:r>
      <w:r w:rsidR="00AF4635" w:rsidRPr="002A4C3A">
        <w:t xml:space="preserve"> of the following </w:t>
      </w:r>
      <w:r w:rsidR="00AF4635" w:rsidRPr="002A4C3A">
        <w:rPr>
          <w:lang w:val="en-GB"/>
        </w:rPr>
        <w:t>frequency bands for fixed and mobile service applications in the range 275-450 GHz while maintaining the protection of the passive services identified in RR No. 5.565</w:t>
      </w:r>
      <w:r w:rsidR="00AF4635" w:rsidRPr="002A4C3A">
        <w:t>:</w:t>
      </w:r>
    </w:p>
    <w:p w:rsidR="00AF4635" w:rsidRPr="002A4C3A" w:rsidRDefault="00AF4635" w:rsidP="00AF4635">
      <w:pPr>
        <w:numPr>
          <w:ilvl w:val="0"/>
          <w:numId w:val="19"/>
        </w:numPr>
        <w:tabs>
          <w:tab w:val="clear" w:pos="720"/>
          <w:tab w:val="num" w:pos="1980"/>
        </w:tabs>
        <w:ind w:firstLine="900"/>
        <w:rPr>
          <w:cs/>
          <w:lang w:bidi="th-TH"/>
        </w:rPr>
      </w:pPr>
      <w:r w:rsidRPr="002A4C3A">
        <w:t>275-296 GHz</w:t>
      </w:r>
    </w:p>
    <w:p w:rsidR="00AF4635" w:rsidRPr="002A4C3A" w:rsidRDefault="00AF4635" w:rsidP="00AF4635">
      <w:pPr>
        <w:numPr>
          <w:ilvl w:val="0"/>
          <w:numId w:val="19"/>
        </w:numPr>
        <w:tabs>
          <w:tab w:val="clear" w:pos="720"/>
          <w:tab w:val="num" w:pos="1980"/>
        </w:tabs>
        <w:ind w:firstLine="900"/>
        <w:rPr>
          <w:cs/>
          <w:lang w:bidi="th-TH"/>
        </w:rPr>
      </w:pPr>
      <w:r w:rsidRPr="002A4C3A">
        <w:t>306-313 GHz</w:t>
      </w:r>
    </w:p>
    <w:p w:rsidR="00AF4635" w:rsidRPr="002A4C3A" w:rsidRDefault="00AF4635" w:rsidP="00AF4635">
      <w:pPr>
        <w:numPr>
          <w:ilvl w:val="0"/>
          <w:numId w:val="19"/>
        </w:numPr>
        <w:tabs>
          <w:tab w:val="clear" w:pos="720"/>
          <w:tab w:val="num" w:pos="1980"/>
        </w:tabs>
        <w:ind w:firstLine="900"/>
        <w:rPr>
          <w:cs/>
          <w:lang w:bidi="th-TH"/>
        </w:rPr>
      </w:pPr>
      <w:r w:rsidRPr="002A4C3A">
        <w:t>318-333 GHz</w:t>
      </w:r>
    </w:p>
    <w:p w:rsidR="00AF4635" w:rsidRPr="002A4C3A" w:rsidRDefault="00AF4635" w:rsidP="00AF4635">
      <w:pPr>
        <w:numPr>
          <w:ilvl w:val="0"/>
          <w:numId w:val="19"/>
        </w:numPr>
        <w:tabs>
          <w:tab w:val="clear" w:pos="720"/>
          <w:tab w:val="num" w:pos="1980"/>
        </w:tabs>
        <w:ind w:firstLine="900"/>
        <w:rPr>
          <w:cs/>
          <w:lang w:bidi="th-TH"/>
        </w:rPr>
      </w:pPr>
      <w:r w:rsidRPr="002A4C3A">
        <w:t xml:space="preserve">356-450 GHz </w:t>
      </w:r>
    </w:p>
    <w:p w:rsidR="004F1FCD" w:rsidRDefault="00AF4635" w:rsidP="00A24762">
      <w:r w:rsidRPr="002A4C3A">
        <w:t>Thailand therefore supports Method E in the CPM report.</w:t>
      </w:r>
      <w:r w:rsidR="0052596B">
        <w:t>”</w:t>
      </w:r>
    </w:p>
    <w:p w:rsidR="00AA2C45" w:rsidRPr="00A24762" w:rsidRDefault="00AA2C45" w:rsidP="00A24762">
      <w:pPr>
        <w:rPr>
          <w:b/>
          <w:lang w:val="en-NZ" w:eastAsia="ko-KR"/>
        </w:rPr>
      </w:pPr>
    </w:p>
    <w:p w:rsidR="00DE273D" w:rsidRPr="00A24762" w:rsidRDefault="00806638" w:rsidP="00A24762">
      <w:pPr>
        <w:pStyle w:val="ListParagraph"/>
        <w:numPr>
          <w:ilvl w:val="1"/>
          <w:numId w:val="21"/>
        </w:numPr>
        <w:rPr>
          <w:b/>
          <w:lang w:val="en-NZ" w:eastAsia="ko-KR"/>
        </w:rPr>
      </w:pPr>
      <w:r w:rsidRPr="00A24762">
        <w:rPr>
          <w:b/>
          <w:lang w:val="en-NZ" w:eastAsia="ko-KR"/>
        </w:rPr>
        <w:t>Summary of issues</w:t>
      </w:r>
      <w:r w:rsidRPr="00A24762">
        <w:rPr>
          <w:b/>
          <w:lang w:val="en-NZ"/>
        </w:rPr>
        <w:t xml:space="preserve"> raised during the meeting</w:t>
      </w:r>
    </w:p>
    <w:p w:rsidR="00F422D3" w:rsidRDefault="00985561" w:rsidP="00A24762">
      <w:r w:rsidRPr="00B640E9">
        <w:t xml:space="preserve">APT Members </w:t>
      </w:r>
      <w:r w:rsidR="00536606" w:rsidRPr="00B640E9">
        <w:t xml:space="preserve">discussed and achieved consensus on several topics including the protection of EESS (passive)/RAS in their respective </w:t>
      </w:r>
      <w:r w:rsidR="008E6865" w:rsidRPr="00B640E9">
        <w:t xml:space="preserve">identified </w:t>
      </w:r>
      <w:r w:rsidR="00536606" w:rsidRPr="00B640E9">
        <w:t xml:space="preserve">bands, and the flexibility </w:t>
      </w:r>
      <w:r w:rsidR="00B640E9" w:rsidRPr="00B640E9">
        <w:t xml:space="preserve">to </w:t>
      </w:r>
      <w:r w:rsidR="008E6865" w:rsidRPr="00B640E9">
        <w:t>accommodat</w:t>
      </w:r>
      <w:r w:rsidR="00B640E9" w:rsidRPr="00B640E9">
        <w:t>e</w:t>
      </w:r>
      <w:r w:rsidR="008E6865" w:rsidRPr="00B640E9">
        <w:t xml:space="preserve"> </w:t>
      </w:r>
      <w:r w:rsidR="00536606" w:rsidRPr="00B640E9">
        <w:t>potential applications in the future.</w:t>
      </w:r>
    </w:p>
    <w:p w:rsidR="00536606" w:rsidRPr="00B640E9" w:rsidRDefault="00536606" w:rsidP="00A24762">
      <w:r w:rsidRPr="00B640E9">
        <w:t xml:space="preserve">APT members agreed on </w:t>
      </w:r>
      <w:r w:rsidR="008E6865" w:rsidRPr="00B640E9">
        <w:t xml:space="preserve">NOC </w:t>
      </w:r>
      <w:r w:rsidRPr="00B640E9">
        <w:t xml:space="preserve">to </w:t>
      </w:r>
      <w:r w:rsidR="008E6865" w:rsidRPr="00F422D3">
        <w:rPr>
          <w:b/>
        </w:rPr>
        <w:t xml:space="preserve">RR </w:t>
      </w:r>
      <w:r w:rsidRPr="00F422D3">
        <w:rPr>
          <w:b/>
        </w:rPr>
        <w:t>No. 5.565</w:t>
      </w:r>
      <w:r w:rsidRPr="00B640E9">
        <w:t xml:space="preserve">, and to add a </w:t>
      </w:r>
      <w:r w:rsidR="008E6865" w:rsidRPr="00B640E9">
        <w:t xml:space="preserve">new </w:t>
      </w:r>
      <w:r w:rsidRPr="00B640E9">
        <w:t>footnote with identification of frequency bands for use</w:t>
      </w:r>
      <w:r w:rsidR="008E6865" w:rsidRPr="00B640E9">
        <w:t xml:space="preserve"> for the </w:t>
      </w:r>
      <w:r w:rsidRPr="00B640E9">
        <w:t>land mobile and fixed service applications</w:t>
      </w:r>
      <w:r w:rsidR="008E6865" w:rsidRPr="00B640E9">
        <w:t xml:space="preserve"> in the range of 275-450 GHz.</w:t>
      </w:r>
      <w:r w:rsidRPr="00B640E9">
        <w:t xml:space="preserve">   </w:t>
      </w:r>
    </w:p>
    <w:p w:rsidR="00806638" w:rsidRPr="00684062" w:rsidRDefault="00806638" w:rsidP="00684062">
      <w:pPr>
        <w:rPr>
          <w:b/>
          <w:lang w:val="en-NZ" w:eastAsia="ko-KR"/>
        </w:rPr>
      </w:pPr>
    </w:p>
    <w:p w:rsidR="00806638" w:rsidRPr="00A24762" w:rsidRDefault="00806638" w:rsidP="00A24762">
      <w:pPr>
        <w:pStyle w:val="ListParagraph"/>
        <w:numPr>
          <w:ilvl w:val="0"/>
          <w:numId w:val="21"/>
        </w:numPr>
        <w:rPr>
          <w:b/>
          <w:lang w:val="en-NZ" w:eastAsia="ko-KR"/>
        </w:rPr>
      </w:pPr>
      <w:r w:rsidRPr="00A24762">
        <w:rPr>
          <w:b/>
          <w:lang w:val="en-NZ" w:eastAsia="ko-KR"/>
        </w:rPr>
        <w:t>APT Views</w:t>
      </w:r>
    </w:p>
    <w:p w:rsidR="00B26989" w:rsidRDefault="00B26989" w:rsidP="00A24762">
      <w:pPr>
        <w:spacing w:afterLines="50" w:after="120"/>
        <w:jc w:val="both"/>
      </w:pPr>
    </w:p>
    <w:p w:rsidR="006F0C7C" w:rsidRPr="006F0C7C" w:rsidRDefault="006F0C7C" w:rsidP="00A24762">
      <w:pPr>
        <w:spacing w:afterLines="50" w:after="120"/>
        <w:jc w:val="both"/>
      </w:pPr>
      <w:r w:rsidRPr="006F0C7C">
        <w:t xml:space="preserve">APT Members support to consider identification of frequency bands for use by the land mobile and fixed service applications operating in the frequency range 275-450 GHz, taking into account the study results conducted by the relevant ITU-R WPs, provided that the protection of passive services identified in No. </w:t>
      </w:r>
      <w:r w:rsidRPr="00A24762">
        <w:rPr>
          <w:b/>
        </w:rPr>
        <w:t>5.565</w:t>
      </w:r>
      <w:r w:rsidRPr="006F0C7C">
        <w:t xml:space="preserve"> is </w:t>
      </w:r>
      <w:r w:rsidRPr="00B640E9">
        <w:t>ensured. APT Members support adding a new footnote to the relevant</w:t>
      </w:r>
      <w:r w:rsidR="00B640E9" w:rsidRPr="00B640E9">
        <w:t xml:space="preserve"> part of the Radio Regulations.</w:t>
      </w:r>
    </w:p>
    <w:p w:rsidR="006F0C7C" w:rsidRPr="00A24762" w:rsidRDefault="006F0C7C" w:rsidP="00A24762">
      <w:pPr>
        <w:spacing w:afterLines="50" w:after="120"/>
        <w:jc w:val="both"/>
        <w:rPr>
          <w:b/>
          <w:lang w:val="en-NZ" w:eastAsia="ko-KR"/>
        </w:rPr>
      </w:pPr>
      <w:r w:rsidRPr="00A24762">
        <w:rPr>
          <w:rFonts w:eastAsiaTheme="minorEastAsia"/>
          <w:lang w:val="en-NZ" w:eastAsia="ja-JP"/>
        </w:rPr>
        <w:t>APT Members are also of the view that,</w:t>
      </w:r>
      <w:r w:rsidRPr="00A24762">
        <w:rPr>
          <w:rFonts w:eastAsiaTheme="minorEastAsia"/>
          <w:lang w:eastAsia="zh-CN"/>
        </w:rPr>
        <w:t xml:space="preserve"> i</w:t>
      </w:r>
      <w:r w:rsidRPr="006F0C7C">
        <w:t xml:space="preserve">n the bands identified for RAS in RR </w:t>
      </w:r>
      <w:r w:rsidRPr="00A24762">
        <w:rPr>
          <w:bCs/>
        </w:rPr>
        <w:t>N</w:t>
      </w:r>
      <w:r w:rsidRPr="006F0C7C">
        <w:t xml:space="preserve">o. </w:t>
      </w:r>
      <w:r w:rsidRPr="00A24762">
        <w:rPr>
          <w:rStyle w:val="Artref"/>
          <w:b/>
          <w:bCs/>
        </w:rPr>
        <w:t>5.565</w:t>
      </w:r>
      <w:r w:rsidRPr="006F0C7C">
        <w:t xml:space="preserve"> (</w:t>
      </w:r>
      <w:r w:rsidRPr="00A24762">
        <w:rPr>
          <w:iCs/>
        </w:rPr>
        <w:t>275-323 GHz, 327-371 GHz, 388-424 GHz and 426</w:t>
      </w:r>
      <w:r w:rsidRPr="00A24762">
        <w:rPr>
          <w:iCs/>
        </w:rPr>
        <w:noBreakHyphen/>
        <w:t>442 GHz</w:t>
      </w:r>
      <w:r w:rsidRPr="006F0C7C">
        <w:t>), separation distances and</w:t>
      </w:r>
      <w:r w:rsidRPr="00A24762">
        <w:rPr>
          <w:rFonts w:eastAsia="SimSun"/>
          <w:lang w:eastAsia="zh-CN"/>
        </w:rPr>
        <w:t>/</w:t>
      </w:r>
      <w:r w:rsidRPr="006F0C7C">
        <w:t>or avoidance angles between RAS stations and FS stations should be considered depending on the deployment environment of FS stations.</w:t>
      </w:r>
    </w:p>
    <w:p w:rsidR="00806638" w:rsidRPr="00A24762" w:rsidRDefault="00806638" w:rsidP="00A24762">
      <w:pPr>
        <w:rPr>
          <w:b/>
          <w:lang w:val="en-NZ" w:eastAsia="ko-KR"/>
        </w:rPr>
      </w:pPr>
    </w:p>
    <w:p w:rsidR="00806638" w:rsidRDefault="00D22498" w:rsidP="00A24762">
      <w:pPr>
        <w:pStyle w:val="ListParagraph"/>
        <w:numPr>
          <w:ilvl w:val="0"/>
          <w:numId w:val="21"/>
        </w:numPr>
        <w:rPr>
          <w:b/>
          <w:lang w:val="en-NZ" w:eastAsia="ko-KR"/>
        </w:rPr>
      </w:pPr>
      <w:r w:rsidRPr="00A24762">
        <w:rPr>
          <w:b/>
          <w:lang w:val="en-NZ" w:eastAsia="ko-KR"/>
        </w:rPr>
        <w:t>Preliminary APT Common Proposal(s)</w:t>
      </w:r>
    </w:p>
    <w:p w:rsidR="00B26989" w:rsidRPr="00A24762" w:rsidRDefault="00B26989" w:rsidP="00B26989">
      <w:pPr>
        <w:pStyle w:val="ListParagraph"/>
        <w:ind w:left="360"/>
        <w:rPr>
          <w:b/>
          <w:lang w:val="en-NZ" w:eastAsia="ko-KR"/>
        </w:rPr>
      </w:pPr>
    </w:p>
    <w:bookmarkStart w:id="0" w:name="_GoBack"/>
    <w:bookmarkStart w:id="1" w:name="_MON_1626349233"/>
    <w:bookmarkEnd w:id="1"/>
    <w:p w:rsidR="00CC32B6" w:rsidRPr="003C689B" w:rsidRDefault="009C5A32" w:rsidP="00402333">
      <w:pPr>
        <w:pStyle w:val="ListParagraph"/>
        <w:ind w:left="270"/>
        <w:rPr>
          <w:lang w:val="en-NZ" w:eastAsia="ko-KR"/>
        </w:rPr>
      </w:pPr>
      <w:r>
        <w:rPr>
          <w:lang w:val="en-NZ" w:eastAsia="ko-KR"/>
        </w:rPr>
        <w:object w:dxaOrig="1532" w:dyaOrig="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11" o:title=""/>
          </v:shape>
          <o:OLEObject Type="Embed" ProgID="Word.Document.12" ShapeID="_x0000_i1025" DrawAspect="Icon" ObjectID="_1627127574" r:id="rId12">
            <o:FieldCodes>\s</o:FieldCodes>
          </o:OLEObject>
        </w:object>
      </w:r>
      <w:bookmarkEnd w:id="0"/>
    </w:p>
    <w:p w:rsidR="00806638" w:rsidRDefault="00806638" w:rsidP="00402333">
      <w:pPr>
        <w:pStyle w:val="ListParagraph"/>
        <w:ind w:left="270"/>
        <w:rPr>
          <w:b/>
          <w:lang w:val="en-NZ" w:eastAsia="ko-KR"/>
        </w:rPr>
      </w:pPr>
    </w:p>
    <w:p w:rsidR="00DA7595" w:rsidRPr="009A4A6D" w:rsidRDefault="00C357AD" w:rsidP="00114802">
      <w:pPr>
        <w:jc w:val="center"/>
        <w:rPr>
          <w:snapToGrid w:val="0"/>
        </w:rPr>
      </w:pPr>
      <w:r>
        <w:t>____________</w:t>
      </w:r>
    </w:p>
    <w:sectPr w:rsidR="00DA7595" w:rsidRPr="009A4A6D" w:rsidSect="00B26989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E" w:rsidRDefault="00B0755E">
      <w:r>
        <w:separator/>
      </w:r>
    </w:p>
  </w:endnote>
  <w:endnote w:type="continuationSeparator" w:id="0">
    <w:p w:rsidR="00B0755E" w:rsidRDefault="00B0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8" w:rsidRDefault="0030773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738" w:rsidRDefault="0030773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8" w:rsidRDefault="00307738" w:rsidP="001A25A5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5</w:t>
    </w:r>
    <w:r>
      <w:rPr>
        <w:rFonts w:hint="eastAsia"/>
        <w:lang w:eastAsia="ko-KR"/>
      </w:rPr>
      <w:t>/</w:t>
    </w:r>
    <w:r w:rsidR="00DC3654">
      <w:rPr>
        <w:lang w:eastAsia="ko-KR"/>
      </w:rPr>
      <w:t>OUT-29</w:t>
    </w:r>
    <w:r>
      <w:rPr>
        <w:lang w:eastAsia="ko-KR"/>
      </w:rPr>
      <w:tab/>
    </w:r>
    <w:r>
      <w:rPr>
        <w:lang w:eastAsia="ko-K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C5A32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C5A32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07738" w:rsidRPr="001A25A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07738" w:rsidRPr="001A25A5" w:rsidRDefault="00307738" w:rsidP="00762576">
          <w:pPr>
            <w:rPr>
              <w:b/>
              <w:bCs/>
            </w:rPr>
          </w:pPr>
          <w:r w:rsidRPr="001A25A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07738" w:rsidRPr="001A25A5" w:rsidRDefault="00307738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SUM CHIN SEAN</w:t>
          </w:r>
          <w:r w:rsidRPr="001A25A5">
            <w:rPr>
              <w:rFonts w:eastAsia="Batang"/>
              <w:szCs w:val="24"/>
              <w:lang w:eastAsia="ko-KR"/>
            </w:rPr>
            <w:t xml:space="preserve"> </w:t>
          </w:r>
        </w:p>
        <w:p w:rsidR="00307738" w:rsidRPr="001A25A5" w:rsidRDefault="00307738" w:rsidP="00DE273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>NICT</w:t>
          </w:r>
          <w:r w:rsidRPr="001A25A5">
            <w:rPr>
              <w:rFonts w:eastAsia="Batang" w:hint="eastAsia"/>
              <w:szCs w:val="24"/>
              <w:lang w:eastAsia="ko-KR"/>
            </w:rPr>
            <w:t xml:space="preserve">, </w:t>
          </w:r>
          <w:r>
            <w:rPr>
              <w:rFonts w:eastAsia="Batang"/>
              <w:szCs w:val="24"/>
              <w:lang w:eastAsia="ko-KR"/>
            </w:rPr>
            <w:t>Japan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307738" w:rsidRPr="001A25A5" w:rsidRDefault="00307738" w:rsidP="00762576">
          <w:pPr>
            <w:rPr>
              <w:lang w:eastAsia="ja-JP"/>
            </w:rPr>
          </w:pPr>
          <w:r w:rsidRPr="001A25A5">
            <w:t>Email</w:t>
          </w:r>
          <w:r w:rsidRPr="001A25A5">
            <w:rPr>
              <w:rFonts w:hint="eastAsia"/>
            </w:rPr>
            <w:t xml:space="preserve">: </w:t>
          </w:r>
          <w:r>
            <w:t>cssumnict@gmail.com</w:t>
          </w:r>
        </w:p>
      </w:tc>
    </w:tr>
  </w:tbl>
  <w:p w:rsidR="00307738" w:rsidRDefault="0030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E" w:rsidRDefault="00B0755E">
      <w:r>
        <w:separator/>
      </w:r>
    </w:p>
  </w:footnote>
  <w:footnote w:type="continuationSeparator" w:id="0">
    <w:p w:rsidR="00B0755E" w:rsidRDefault="00B0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8" w:rsidRDefault="00307738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07738" w:rsidRDefault="00307738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922C1"/>
    <w:multiLevelType w:val="singleLevel"/>
    <w:tmpl w:val="D43922C1"/>
    <w:lvl w:ilvl="0">
      <w:start w:val="1"/>
      <w:numFmt w:val="decimal"/>
      <w:suff w:val="space"/>
      <w:lvlText w:val="(%1)"/>
      <w:lvlJc w:val="left"/>
    </w:lvl>
  </w:abstractNum>
  <w:abstractNum w:abstractNumId="1">
    <w:nsid w:val="02703550"/>
    <w:multiLevelType w:val="hybridMultilevel"/>
    <w:tmpl w:val="6916D0E0"/>
    <w:lvl w:ilvl="0" w:tplc="EFDEB96E">
      <w:start w:val="1"/>
      <w:numFmt w:val="bullet"/>
      <w:lvlText w:val="-"/>
      <w:lvlJc w:val="left"/>
      <w:pPr>
        <w:ind w:left="-90" w:hanging="360"/>
      </w:pPr>
      <w:rPr>
        <w:rFonts w:ascii="Times New Roman" w:eastAsia="BatangChe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0E5CDD"/>
    <w:multiLevelType w:val="multilevel"/>
    <w:tmpl w:val="970C34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EA31620"/>
    <w:multiLevelType w:val="hybridMultilevel"/>
    <w:tmpl w:val="627CAB60"/>
    <w:lvl w:ilvl="0" w:tplc="2E781EA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02614F0"/>
    <w:multiLevelType w:val="hybridMultilevel"/>
    <w:tmpl w:val="F5149E9C"/>
    <w:lvl w:ilvl="0" w:tplc="96AC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sz w:val="22"/>
        <w:szCs w:val="20"/>
      </w:rPr>
    </w:lvl>
    <w:lvl w:ilvl="1" w:tplc="C144C4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68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86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EA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E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A2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3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36E89"/>
    <w:multiLevelType w:val="multilevel"/>
    <w:tmpl w:val="C9403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110C2A"/>
    <w:multiLevelType w:val="hybridMultilevel"/>
    <w:tmpl w:val="C9567C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30DB"/>
    <w:multiLevelType w:val="hybridMultilevel"/>
    <w:tmpl w:val="4112A29A"/>
    <w:lvl w:ilvl="0" w:tplc="D294FB6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18"/>
    <w:multiLevelType w:val="hybridMultilevel"/>
    <w:tmpl w:val="FC2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4BBF"/>
    <w:multiLevelType w:val="multilevel"/>
    <w:tmpl w:val="36E6A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2CD7B2D"/>
    <w:multiLevelType w:val="multilevel"/>
    <w:tmpl w:val="45E84C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3F2E9B"/>
    <w:multiLevelType w:val="multilevel"/>
    <w:tmpl w:val="37BA5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6"/>
  </w:num>
  <w:num w:numId="12">
    <w:abstractNumId w:val="20"/>
  </w:num>
  <w:num w:numId="13">
    <w:abstractNumId w:val="17"/>
  </w:num>
  <w:num w:numId="14">
    <w:abstractNumId w:val="3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5"/>
  </w:num>
  <w:num w:numId="18">
    <w:abstractNumId w:val="14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476FF"/>
    <w:rsid w:val="000501E8"/>
    <w:rsid w:val="00060BC8"/>
    <w:rsid w:val="000713CF"/>
    <w:rsid w:val="00071D11"/>
    <w:rsid w:val="000A5418"/>
    <w:rsid w:val="000E085B"/>
    <w:rsid w:val="000E579C"/>
    <w:rsid w:val="000F335F"/>
    <w:rsid w:val="000F517C"/>
    <w:rsid w:val="000F5540"/>
    <w:rsid w:val="00106D72"/>
    <w:rsid w:val="00114802"/>
    <w:rsid w:val="001338F0"/>
    <w:rsid w:val="001427DE"/>
    <w:rsid w:val="001539DD"/>
    <w:rsid w:val="0015451C"/>
    <w:rsid w:val="001659A8"/>
    <w:rsid w:val="00171F4E"/>
    <w:rsid w:val="0018250B"/>
    <w:rsid w:val="00196568"/>
    <w:rsid w:val="001A25A5"/>
    <w:rsid w:val="001A2F16"/>
    <w:rsid w:val="001A7D59"/>
    <w:rsid w:val="001B18C2"/>
    <w:rsid w:val="001B26DB"/>
    <w:rsid w:val="001B3D44"/>
    <w:rsid w:val="001B5566"/>
    <w:rsid w:val="001D5D7E"/>
    <w:rsid w:val="001F0A3F"/>
    <w:rsid w:val="001F374A"/>
    <w:rsid w:val="00200628"/>
    <w:rsid w:val="002010D3"/>
    <w:rsid w:val="002125A3"/>
    <w:rsid w:val="00214CB4"/>
    <w:rsid w:val="002366D2"/>
    <w:rsid w:val="00242F70"/>
    <w:rsid w:val="00243751"/>
    <w:rsid w:val="00244616"/>
    <w:rsid w:val="00244FE1"/>
    <w:rsid w:val="00250337"/>
    <w:rsid w:val="00254A1B"/>
    <w:rsid w:val="0027283D"/>
    <w:rsid w:val="00277F99"/>
    <w:rsid w:val="0028454D"/>
    <w:rsid w:val="00291C9E"/>
    <w:rsid w:val="002926D4"/>
    <w:rsid w:val="00294C5A"/>
    <w:rsid w:val="002C07DA"/>
    <w:rsid w:val="002C7EA9"/>
    <w:rsid w:val="002E48E4"/>
    <w:rsid w:val="002F34D6"/>
    <w:rsid w:val="002F625C"/>
    <w:rsid w:val="002F776A"/>
    <w:rsid w:val="002F7ED7"/>
    <w:rsid w:val="00307738"/>
    <w:rsid w:val="0033185A"/>
    <w:rsid w:val="003420BD"/>
    <w:rsid w:val="00342F20"/>
    <w:rsid w:val="00345F12"/>
    <w:rsid w:val="00351462"/>
    <w:rsid w:val="003654F9"/>
    <w:rsid w:val="003809C7"/>
    <w:rsid w:val="00384F23"/>
    <w:rsid w:val="003B6263"/>
    <w:rsid w:val="003B76EB"/>
    <w:rsid w:val="003C3305"/>
    <w:rsid w:val="003C3B19"/>
    <w:rsid w:val="003C64A7"/>
    <w:rsid w:val="003C689B"/>
    <w:rsid w:val="003D3FDA"/>
    <w:rsid w:val="003E0321"/>
    <w:rsid w:val="003F1B45"/>
    <w:rsid w:val="00402333"/>
    <w:rsid w:val="0041381E"/>
    <w:rsid w:val="00417799"/>
    <w:rsid w:val="00420822"/>
    <w:rsid w:val="00423B65"/>
    <w:rsid w:val="00424D00"/>
    <w:rsid w:val="00426A19"/>
    <w:rsid w:val="00445E77"/>
    <w:rsid w:val="00453CAB"/>
    <w:rsid w:val="0045458F"/>
    <w:rsid w:val="004633B4"/>
    <w:rsid w:val="004672E9"/>
    <w:rsid w:val="004858EA"/>
    <w:rsid w:val="00492829"/>
    <w:rsid w:val="004B2093"/>
    <w:rsid w:val="004B3553"/>
    <w:rsid w:val="004B679F"/>
    <w:rsid w:val="004E4CA7"/>
    <w:rsid w:val="004E7C1E"/>
    <w:rsid w:val="004F1FCD"/>
    <w:rsid w:val="004F47E8"/>
    <w:rsid w:val="004F7D32"/>
    <w:rsid w:val="005003FE"/>
    <w:rsid w:val="0052596B"/>
    <w:rsid w:val="00530E8C"/>
    <w:rsid w:val="005320E3"/>
    <w:rsid w:val="00536606"/>
    <w:rsid w:val="00545933"/>
    <w:rsid w:val="005505FF"/>
    <w:rsid w:val="00554DA2"/>
    <w:rsid w:val="00557544"/>
    <w:rsid w:val="005838D0"/>
    <w:rsid w:val="00583933"/>
    <w:rsid w:val="00587875"/>
    <w:rsid w:val="00593EFA"/>
    <w:rsid w:val="00595DAC"/>
    <w:rsid w:val="005D33E5"/>
    <w:rsid w:val="005D5A6E"/>
    <w:rsid w:val="005E4297"/>
    <w:rsid w:val="00607E2B"/>
    <w:rsid w:val="006139D6"/>
    <w:rsid w:val="0061787B"/>
    <w:rsid w:val="006209FE"/>
    <w:rsid w:val="00623CE1"/>
    <w:rsid w:val="0063062B"/>
    <w:rsid w:val="00650F2D"/>
    <w:rsid w:val="006559DF"/>
    <w:rsid w:val="00661B15"/>
    <w:rsid w:val="00667229"/>
    <w:rsid w:val="00667CE0"/>
    <w:rsid w:val="00672585"/>
    <w:rsid w:val="00680EF2"/>
    <w:rsid w:val="00682BE5"/>
    <w:rsid w:val="00684062"/>
    <w:rsid w:val="00690FED"/>
    <w:rsid w:val="006914E2"/>
    <w:rsid w:val="00692955"/>
    <w:rsid w:val="006939A5"/>
    <w:rsid w:val="006C3B8D"/>
    <w:rsid w:val="006C5DA9"/>
    <w:rsid w:val="006D3BAE"/>
    <w:rsid w:val="006E65C2"/>
    <w:rsid w:val="006F0C7C"/>
    <w:rsid w:val="006F5239"/>
    <w:rsid w:val="00712451"/>
    <w:rsid w:val="007243D0"/>
    <w:rsid w:val="00731041"/>
    <w:rsid w:val="00732F08"/>
    <w:rsid w:val="0074190C"/>
    <w:rsid w:val="0074489B"/>
    <w:rsid w:val="0074574B"/>
    <w:rsid w:val="00762576"/>
    <w:rsid w:val="007634EE"/>
    <w:rsid w:val="007647E7"/>
    <w:rsid w:val="00772FAD"/>
    <w:rsid w:val="00787D00"/>
    <w:rsid w:val="00791060"/>
    <w:rsid w:val="007B5626"/>
    <w:rsid w:val="007C6605"/>
    <w:rsid w:val="007E1BBC"/>
    <w:rsid w:val="007F0CD2"/>
    <w:rsid w:val="007F0D19"/>
    <w:rsid w:val="0080570B"/>
    <w:rsid w:val="00806638"/>
    <w:rsid w:val="008068E7"/>
    <w:rsid w:val="008148E1"/>
    <w:rsid w:val="00821CB7"/>
    <w:rsid w:val="008319BF"/>
    <w:rsid w:val="00843A32"/>
    <w:rsid w:val="008564F2"/>
    <w:rsid w:val="00867EE7"/>
    <w:rsid w:val="00873B23"/>
    <w:rsid w:val="008807FE"/>
    <w:rsid w:val="00880AED"/>
    <w:rsid w:val="0088787A"/>
    <w:rsid w:val="008A0AA8"/>
    <w:rsid w:val="008C2F03"/>
    <w:rsid w:val="008D0E09"/>
    <w:rsid w:val="008D25F5"/>
    <w:rsid w:val="008E063B"/>
    <w:rsid w:val="008E5E2A"/>
    <w:rsid w:val="008E6865"/>
    <w:rsid w:val="008F7D8C"/>
    <w:rsid w:val="00906E44"/>
    <w:rsid w:val="009400A8"/>
    <w:rsid w:val="0097693B"/>
    <w:rsid w:val="0098119B"/>
    <w:rsid w:val="00985561"/>
    <w:rsid w:val="00993355"/>
    <w:rsid w:val="00995F2C"/>
    <w:rsid w:val="009A1A5E"/>
    <w:rsid w:val="009A4A6D"/>
    <w:rsid w:val="009B2C7E"/>
    <w:rsid w:val="009C4AE0"/>
    <w:rsid w:val="009C5A32"/>
    <w:rsid w:val="009D5419"/>
    <w:rsid w:val="009E387E"/>
    <w:rsid w:val="009E64CA"/>
    <w:rsid w:val="009F19E9"/>
    <w:rsid w:val="00A00E09"/>
    <w:rsid w:val="00A13265"/>
    <w:rsid w:val="00A24762"/>
    <w:rsid w:val="00A647E6"/>
    <w:rsid w:val="00A71136"/>
    <w:rsid w:val="00A731C2"/>
    <w:rsid w:val="00A83EA8"/>
    <w:rsid w:val="00A91579"/>
    <w:rsid w:val="00AA2C45"/>
    <w:rsid w:val="00AA474C"/>
    <w:rsid w:val="00AD0E7B"/>
    <w:rsid w:val="00AD7E5F"/>
    <w:rsid w:val="00AE5A98"/>
    <w:rsid w:val="00AE706A"/>
    <w:rsid w:val="00AF119E"/>
    <w:rsid w:val="00AF4635"/>
    <w:rsid w:val="00AF5DEB"/>
    <w:rsid w:val="00B01AA1"/>
    <w:rsid w:val="00B0755E"/>
    <w:rsid w:val="00B10C7E"/>
    <w:rsid w:val="00B26989"/>
    <w:rsid w:val="00B30C81"/>
    <w:rsid w:val="00B36633"/>
    <w:rsid w:val="00B4793B"/>
    <w:rsid w:val="00B514EE"/>
    <w:rsid w:val="00B6222A"/>
    <w:rsid w:val="00B640E9"/>
    <w:rsid w:val="00B82DBC"/>
    <w:rsid w:val="00B83FE6"/>
    <w:rsid w:val="00BB312D"/>
    <w:rsid w:val="00BC3EB1"/>
    <w:rsid w:val="00BD6597"/>
    <w:rsid w:val="00BE41FD"/>
    <w:rsid w:val="00BF05AB"/>
    <w:rsid w:val="00BF21D9"/>
    <w:rsid w:val="00BF4039"/>
    <w:rsid w:val="00BF73B0"/>
    <w:rsid w:val="00C02983"/>
    <w:rsid w:val="00C07731"/>
    <w:rsid w:val="00C15633"/>
    <w:rsid w:val="00C15799"/>
    <w:rsid w:val="00C22532"/>
    <w:rsid w:val="00C269D3"/>
    <w:rsid w:val="00C357AD"/>
    <w:rsid w:val="00C52070"/>
    <w:rsid w:val="00C6069C"/>
    <w:rsid w:val="00C667B5"/>
    <w:rsid w:val="00C71951"/>
    <w:rsid w:val="00C85119"/>
    <w:rsid w:val="00C85C65"/>
    <w:rsid w:val="00CA2FE7"/>
    <w:rsid w:val="00CA7E8B"/>
    <w:rsid w:val="00CC32B6"/>
    <w:rsid w:val="00CD5431"/>
    <w:rsid w:val="00CE14BA"/>
    <w:rsid w:val="00CE1DD9"/>
    <w:rsid w:val="00CE2B9D"/>
    <w:rsid w:val="00CF2491"/>
    <w:rsid w:val="00CF35CD"/>
    <w:rsid w:val="00D068D5"/>
    <w:rsid w:val="00D07415"/>
    <w:rsid w:val="00D1252E"/>
    <w:rsid w:val="00D22498"/>
    <w:rsid w:val="00D34580"/>
    <w:rsid w:val="00D52AAD"/>
    <w:rsid w:val="00D56D88"/>
    <w:rsid w:val="00D57772"/>
    <w:rsid w:val="00D6020C"/>
    <w:rsid w:val="00D62991"/>
    <w:rsid w:val="00D64F87"/>
    <w:rsid w:val="00D72AE3"/>
    <w:rsid w:val="00D75A4D"/>
    <w:rsid w:val="00D8478B"/>
    <w:rsid w:val="00D86151"/>
    <w:rsid w:val="00DA7595"/>
    <w:rsid w:val="00DB0A68"/>
    <w:rsid w:val="00DB1AE3"/>
    <w:rsid w:val="00DC3654"/>
    <w:rsid w:val="00DC43A3"/>
    <w:rsid w:val="00DD7C09"/>
    <w:rsid w:val="00DE273D"/>
    <w:rsid w:val="00E0124F"/>
    <w:rsid w:val="00E13357"/>
    <w:rsid w:val="00E54CC9"/>
    <w:rsid w:val="00E56152"/>
    <w:rsid w:val="00E636A4"/>
    <w:rsid w:val="00E63F1D"/>
    <w:rsid w:val="00E674D3"/>
    <w:rsid w:val="00E70FD0"/>
    <w:rsid w:val="00E921FF"/>
    <w:rsid w:val="00E95778"/>
    <w:rsid w:val="00EB4362"/>
    <w:rsid w:val="00EC38A0"/>
    <w:rsid w:val="00EC4B25"/>
    <w:rsid w:val="00EC741A"/>
    <w:rsid w:val="00EF5011"/>
    <w:rsid w:val="00F03E44"/>
    <w:rsid w:val="00F31077"/>
    <w:rsid w:val="00F422D3"/>
    <w:rsid w:val="00F67CBB"/>
    <w:rsid w:val="00F71A74"/>
    <w:rsid w:val="00F74706"/>
    <w:rsid w:val="00F84067"/>
    <w:rsid w:val="00FA0D76"/>
    <w:rsid w:val="00FB3886"/>
    <w:rsid w:val="00FC771B"/>
    <w:rsid w:val="00FD3C4E"/>
    <w:rsid w:val="00FD5FC9"/>
    <w:rsid w:val="00FE3DE5"/>
    <w:rsid w:val="00FE4343"/>
    <w:rsid w:val="00FF413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unhideWhenUsed/>
    <w:rsid w:val="0010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D72"/>
    <w:rPr>
      <w:rFonts w:ascii="Tahoma" w:eastAsia="BatangChe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7C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7CE0"/>
    <w:rPr>
      <w:rFonts w:eastAsia="BatangChe"/>
      <w:sz w:val="24"/>
      <w:szCs w:val="24"/>
    </w:rPr>
  </w:style>
  <w:style w:type="character" w:customStyle="1" w:styleId="Artref">
    <w:name w:val="Art_ref"/>
    <w:basedOn w:val="DefaultParagraphFont"/>
    <w:rsid w:val="004F1FCD"/>
  </w:style>
  <w:style w:type="character" w:styleId="Hyperlink">
    <w:name w:val="Hyperlink"/>
    <w:basedOn w:val="DefaultParagraphFont"/>
    <w:uiPriority w:val="99"/>
    <w:unhideWhenUsed/>
    <w:rsid w:val="00FF7A01"/>
    <w:rPr>
      <w:color w:val="0000FF" w:themeColor="hyperlink"/>
      <w:u w:val="single"/>
    </w:rPr>
  </w:style>
  <w:style w:type="paragraph" w:customStyle="1" w:styleId="EncAttach">
    <w:name w:val="EncAttach"/>
    <w:basedOn w:val="Normal"/>
    <w:rsid w:val="00277F99"/>
    <w:pPr>
      <w:numPr>
        <w:numId w:val="16"/>
      </w:numPr>
      <w:autoSpaceDE w:val="0"/>
      <w:autoSpaceDN w:val="0"/>
      <w:adjustRightInd w:val="0"/>
      <w:ind w:left="504" w:hanging="504"/>
      <w:jc w:val="both"/>
    </w:pPr>
    <w:rPr>
      <w:rFonts w:eastAsia="Times New Roman"/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417799"/>
    <w:rPr>
      <w:color w:val="800080" w:themeColor="followedHyperlink"/>
      <w:u w:val="single"/>
    </w:rPr>
  </w:style>
  <w:style w:type="table" w:styleId="TableGrid">
    <w:name w:val="Table Grid"/>
    <w:basedOn w:val="TableNormal"/>
    <w:rsid w:val="006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unhideWhenUsed/>
    <w:rsid w:val="0010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D72"/>
    <w:rPr>
      <w:rFonts w:ascii="Tahoma" w:eastAsia="BatangChe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7C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7CE0"/>
    <w:rPr>
      <w:rFonts w:eastAsia="BatangChe"/>
      <w:sz w:val="24"/>
      <w:szCs w:val="24"/>
    </w:rPr>
  </w:style>
  <w:style w:type="character" w:customStyle="1" w:styleId="Artref">
    <w:name w:val="Art_ref"/>
    <w:basedOn w:val="DefaultParagraphFont"/>
    <w:rsid w:val="004F1FCD"/>
  </w:style>
  <w:style w:type="character" w:styleId="Hyperlink">
    <w:name w:val="Hyperlink"/>
    <w:basedOn w:val="DefaultParagraphFont"/>
    <w:uiPriority w:val="99"/>
    <w:unhideWhenUsed/>
    <w:rsid w:val="00FF7A01"/>
    <w:rPr>
      <w:color w:val="0000FF" w:themeColor="hyperlink"/>
      <w:u w:val="single"/>
    </w:rPr>
  </w:style>
  <w:style w:type="paragraph" w:customStyle="1" w:styleId="EncAttach">
    <w:name w:val="EncAttach"/>
    <w:basedOn w:val="Normal"/>
    <w:rsid w:val="00277F99"/>
    <w:pPr>
      <w:numPr>
        <w:numId w:val="16"/>
      </w:numPr>
      <w:autoSpaceDE w:val="0"/>
      <w:autoSpaceDN w:val="0"/>
      <w:adjustRightInd w:val="0"/>
      <w:ind w:left="504" w:hanging="504"/>
      <w:jc w:val="both"/>
    </w:pPr>
    <w:rPr>
      <w:rFonts w:eastAsia="Times New Roman"/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417799"/>
    <w:rPr>
      <w:color w:val="800080" w:themeColor="followedHyperlink"/>
      <w:u w:val="single"/>
    </w:rPr>
  </w:style>
  <w:style w:type="table" w:styleId="TableGrid">
    <w:name w:val="Table Grid"/>
    <w:basedOn w:val="TableNormal"/>
    <w:rsid w:val="006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pub/R-REP-M.2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P-F.24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Tommy Chee</cp:lastModifiedBy>
  <cp:revision>2</cp:revision>
  <cp:lastPrinted>2004-07-28T02:14:00Z</cp:lastPrinted>
  <dcterms:created xsi:type="dcterms:W3CDTF">2019-08-12T03:06:00Z</dcterms:created>
  <dcterms:modified xsi:type="dcterms:W3CDTF">2019-08-12T03:06:00Z</dcterms:modified>
</cp:coreProperties>
</file>