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56"/>
        <w:tblW w:w="5000" w:type="pct"/>
        <w:tblLayout w:type="fixed"/>
        <w:tblLook w:val="04A0" w:firstRow="1" w:lastRow="0" w:firstColumn="1" w:lastColumn="0" w:noHBand="0" w:noVBand="1"/>
      </w:tblPr>
      <w:tblGrid>
        <w:gridCol w:w="1578"/>
        <w:gridCol w:w="1540"/>
        <w:gridCol w:w="139"/>
        <w:gridCol w:w="181"/>
        <w:gridCol w:w="1520"/>
        <w:gridCol w:w="339"/>
        <w:gridCol w:w="1581"/>
        <w:gridCol w:w="278"/>
        <w:gridCol w:w="1860"/>
        <w:gridCol w:w="1860"/>
      </w:tblGrid>
      <w:tr w:rsidR="0077095D" w:rsidRPr="00D93A66" w14:paraId="4D1FC8AE" w14:textId="77777777" w:rsidTr="00017474">
        <w:trPr>
          <w:trHeight w:val="283"/>
        </w:trPr>
        <w:tc>
          <w:tcPr>
            <w:tcW w:w="5000" w:type="pct"/>
            <w:gridSpan w:val="10"/>
            <w:vAlign w:val="center"/>
          </w:tcPr>
          <w:p w14:paraId="386D1DDF" w14:textId="77777777" w:rsidR="0077095D" w:rsidRPr="006C743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017474" w:rsidRPr="00D93A66" w14:paraId="3204074A" w14:textId="77777777" w:rsidTr="00017474">
        <w:trPr>
          <w:trHeight w:val="694"/>
        </w:trPr>
        <w:tc>
          <w:tcPr>
            <w:tcW w:w="725" w:type="pct"/>
            <w:vMerge w:val="restart"/>
            <w:vAlign w:val="center"/>
          </w:tcPr>
          <w:p w14:paraId="57629ECA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7D729494" w14:textId="25D3F198" w:rsidR="007E7577" w:rsidRPr="005E5CFA" w:rsidRDefault="00182BA2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1.17</w:t>
            </w:r>
          </w:p>
        </w:tc>
        <w:tc>
          <w:tcPr>
            <w:tcW w:w="4275" w:type="pct"/>
            <w:gridSpan w:val="9"/>
          </w:tcPr>
          <w:p w14:paraId="2FBAF2DE" w14:textId="66C948DF" w:rsidR="007E7577" w:rsidRPr="00FB1302" w:rsidRDefault="00FB1302" w:rsidP="00FB1302">
            <w:pPr>
              <w:rPr>
                <w:rFonts w:cstheme="minorHAnsi"/>
                <w:bCs/>
                <w:sz w:val="24"/>
                <w:szCs w:val="24"/>
                <w:lang w:val="en-NZ"/>
              </w:rPr>
            </w:pPr>
            <w:r w:rsidRPr="00FB1302">
              <w:rPr>
                <w:rFonts w:cstheme="minorHAnsi"/>
                <w:bCs/>
                <w:sz w:val="24"/>
                <w:szCs w:val="24"/>
                <w:lang w:val="en-NZ"/>
              </w:rPr>
              <w:t>to determine and carry out, on the basis of the ITU-R studies in accordance with Resolution 773 (WRC 19), the appropriate regulatory actions for the provision of inter-satellite links in specific frequency bands, or portions thereof, by adding an inter-satellite service allocation where appropriate.</w:t>
            </w:r>
          </w:p>
        </w:tc>
      </w:tr>
      <w:tr w:rsidR="00017474" w:rsidRPr="00D93A66" w14:paraId="28C269FC" w14:textId="77777777" w:rsidTr="00017474">
        <w:trPr>
          <w:trHeight w:val="283"/>
        </w:trPr>
        <w:tc>
          <w:tcPr>
            <w:tcW w:w="725" w:type="pct"/>
            <w:vMerge/>
          </w:tcPr>
          <w:p w14:paraId="5F987726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72" w:type="pct"/>
            <w:gridSpan w:val="2"/>
          </w:tcPr>
          <w:p w14:paraId="771FE1C4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782" w:type="pct"/>
            <w:gridSpan w:val="2"/>
          </w:tcPr>
          <w:p w14:paraId="1D250ACD" w14:textId="6C04E5B2" w:rsidR="00D93A66" w:rsidRPr="006C7438" w:rsidRDefault="00182BA2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W</w:t>
            </w:r>
            <w:r w:rsidR="00017474">
              <w:rPr>
                <w:rFonts w:cstheme="minorHAnsi"/>
                <w:bCs/>
                <w:sz w:val="24"/>
                <w:szCs w:val="24"/>
                <w:lang w:eastAsia="zh-CN"/>
              </w:rPr>
              <w:t>G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4</w:t>
            </w:r>
          </w:p>
        </w:tc>
        <w:tc>
          <w:tcPr>
            <w:tcW w:w="883" w:type="pct"/>
            <w:gridSpan w:val="2"/>
          </w:tcPr>
          <w:p w14:paraId="311C11D9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1838" w:type="pct"/>
            <w:gridSpan w:val="3"/>
          </w:tcPr>
          <w:p w14:paraId="1CE56E3A" w14:textId="78437F1F" w:rsidR="00D93A66" w:rsidRPr="006C7438" w:rsidRDefault="00182BA2" w:rsidP="00D93A66">
            <w:pPr>
              <w:jc w:val="center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SWG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-4</w:t>
            </w: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C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eastAsia="zh-CN"/>
              </w:rPr>
              <w:t>a.i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1.17</w:t>
            </w:r>
          </w:p>
        </w:tc>
      </w:tr>
      <w:tr w:rsidR="00017474" w:rsidRPr="00D93A66" w14:paraId="2D3A6F58" w14:textId="77777777" w:rsidTr="00017474">
        <w:tc>
          <w:tcPr>
            <w:tcW w:w="725" w:type="pct"/>
          </w:tcPr>
          <w:p w14:paraId="4568A3E4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1554" w:type="pct"/>
            <w:gridSpan w:val="4"/>
          </w:tcPr>
          <w:p w14:paraId="5A643645" w14:textId="737A5486" w:rsidR="00D93A66" w:rsidRPr="00D93A66" w:rsidRDefault="00182BA2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ZHANG Bo</w:t>
            </w:r>
          </w:p>
        </w:tc>
        <w:tc>
          <w:tcPr>
            <w:tcW w:w="883" w:type="pct"/>
            <w:gridSpan w:val="2"/>
          </w:tcPr>
          <w:p w14:paraId="5182EA1B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1838" w:type="pct"/>
            <w:gridSpan w:val="3"/>
          </w:tcPr>
          <w:p w14:paraId="265BDD02" w14:textId="5F77A35B" w:rsidR="00D93A66" w:rsidRPr="00D93A66" w:rsidRDefault="00182BA2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b</w:t>
            </w:r>
            <w:r>
              <w:rPr>
                <w:rFonts w:cstheme="minorHAnsi"/>
                <w:bCs/>
                <w:sz w:val="24"/>
                <w:szCs w:val="24"/>
              </w:rPr>
              <w:t>o.zhang4969@gmail.com</w:t>
            </w:r>
          </w:p>
        </w:tc>
      </w:tr>
      <w:tr w:rsidR="00017474" w:rsidRPr="00D93A66" w14:paraId="72BEF185" w14:textId="77777777" w:rsidTr="00017474">
        <w:tc>
          <w:tcPr>
            <w:tcW w:w="725" w:type="pct"/>
          </w:tcPr>
          <w:p w14:paraId="35CE3FBD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1554" w:type="pct"/>
            <w:gridSpan w:val="4"/>
          </w:tcPr>
          <w:p w14:paraId="2A220D4C" w14:textId="77777777" w:rsidR="006E4B4C" w:rsidRPr="00F00980" w:rsidRDefault="006E4B4C" w:rsidP="006E4B4C">
            <w:pPr>
              <w:rPr>
                <w:rFonts w:cstheme="minorHAnsi"/>
                <w:bCs/>
                <w:sz w:val="24"/>
                <w:szCs w:val="24"/>
              </w:rPr>
            </w:pPr>
            <w:r w:rsidRPr="00F00980">
              <w:rPr>
                <w:rFonts w:cstheme="minorHAnsi"/>
                <w:bCs/>
                <w:sz w:val="24"/>
                <w:szCs w:val="24"/>
              </w:rPr>
              <w:t xml:space="preserve">Ms. </w:t>
            </w:r>
            <w:proofErr w:type="spellStart"/>
            <w:r w:rsidRPr="00F00980">
              <w:rPr>
                <w:rFonts w:cstheme="minorHAnsi"/>
                <w:bCs/>
                <w:sz w:val="24"/>
                <w:szCs w:val="24"/>
              </w:rPr>
              <w:t>Fenhong</w:t>
            </w:r>
            <w:proofErr w:type="spellEnd"/>
            <w:r w:rsidRPr="00F00980">
              <w:rPr>
                <w:rFonts w:cstheme="minorHAnsi"/>
                <w:bCs/>
                <w:sz w:val="24"/>
                <w:szCs w:val="24"/>
              </w:rPr>
              <w:t xml:space="preserve"> Cheng</w:t>
            </w:r>
          </w:p>
          <w:p w14:paraId="446FF50D" w14:textId="7764E237" w:rsidR="00E00EC9" w:rsidRPr="00D93A66" w:rsidRDefault="006E4B4C" w:rsidP="006E4B4C">
            <w:pPr>
              <w:rPr>
                <w:rFonts w:cstheme="minorHAnsi"/>
                <w:bCs/>
                <w:sz w:val="24"/>
                <w:szCs w:val="24"/>
              </w:rPr>
            </w:pPr>
            <w:r w:rsidRPr="00F00980">
              <w:rPr>
                <w:rFonts w:cs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Pr="00F00980">
              <w:rPr>
                <w:rFonts w:cstheme="minorHAnsi"/>
                <w:bCs/>
                <w:sz w:val="24"/>
                <w:szCs w:val="24"/>
              </w:rPr>
              <w:t>Mrunmaya</w:t>
            </w:r>
            <w:proofErr w:type="spellEnd"/>
            <w:r w:rsidRPr="00F009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00980">
              <w:rPr>
                <w:rFonts w:cstheme="minorHAnsi"/>
                <w:bCs/>
                <w:sz w:val="24"/>
                <w:szCs w:val="24"/>
              </w:rPr>
              <w:t>Pattanaik</w:t>
            </w:r>
            <w:proofErr w:type="spellEnd"/>
          </w:p>
        </w:tc>
        <w:tc>
          <w:tcPr>
            <w:tcW w:w="883" w:type="pct"/>
            <w:gridSpan w:val="2"/>
          </w:tcPr>
          <w:p w14:paraId="1618C0D4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1838" w:type="pct"/>
            <w:gridSpan w:val="3"/>
          </w:tcPr>
          <w:p w14:paraId="0CF8D089" w14:textId="0796C655" w:rsidR="006E4B4C" w:rsidRDefault="006E4B4C" w:rsidP="006E4B4C">
            <w:pPr>
              <w:rPr>
                <w:rFonts w:cstheme="minorHAnsi"/>
                <w:bCs/>
                <w:sz w:val="24"/>
                <w:szCs w:val="24"/>
              </w:rPr>
            </w:pPr>
            <w:r w:rsidRPr="006E4B4C">
              <w:rPr>
                <w:rFonts w:cstheme="minorHAnsi"/>
                <w:bCs/>
                <w:sz w:val="24"/>
                <w:szCs w:val="24"/>
              </w:rPr>
              <w:t>chengfenhong@chinasatcom.com</w:t>
            </w:r>
          </w:p>
          <w:p w14:paraId="4EAA34F8" w14:textId="2CEF457C" w:rsidR="00E00EC9" w:rsidRPr="00D93A66" w:rsidRDefault="006E4B4C" w:rsidP="006E4B4C">
            <w:pPr>
              <w:rPr>
                <w:rFonts w:cstheme="minorHAnsi"/>
                <w:bCs/>
                <w:sz w:val="24"/>
                <w:szCs w:val="24"/>
              </w:rPr>
            </w:pPr>
            <w:r w:rsidRPr="006E4B4C">
              <w:rPr>
                <w:rFonts w:cstheme="minorHAnsi"/>
                <w:bCs/>
                <w:sz w:val="24"/>
                <w:szCs w:val="24"/>
              </w:rPr>
              <w:t>pattanaik.mr@gov.in</w:t>
            </w:r>
          </w:p>
        </w:tc>
      </w:tr>
      <w:tr w:rsidR="00017474" w:rsidRPr="00D93A66" w14:paraId="3D4554F7" w14:textId="77777777" w:rsidTr="00017474">
        <w:tc>
          <w:tcPr>
            <w:tcW w:w="725" w:type="pct"/>
          </w:tcPr>
          <w:p w14:paraId="22447CF2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4275" w:type="pct"/>
            <w:gridSpan w:val="9"/>
          </w:tcPr>
          <w:p w14:paraId="387A0CAF" w14:textId="0127FE95" w:rsidR="00057D04" w:rsidRDefault="00173B29" w:rsidP="008B35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29/03/</w:t>
            </w:r>
            <w:r w:rsidR="00182BA2">
              <w:rPr>
                <w:rFonts w:cstheme="minorHAnsi"/>
                <w:b/>
                <w:sz w:val="24"/>
                <w:szCs w:val="24"/>
              </w:rPr>
              <w:t>2023.03</w:t>
            </w:r>
          </w:p>
        </w:tc>
      </w:tr>
      <w:tr w:rsidR="00E00EC9" w:rsidRPr="00D93A66" w14:paraId="579845B2" w14:textId="77777777" w:rsidTr="00017474">
        <w:tc>
          <w:tcPr>
            <w:tcW w:w="5000" w:type="pct"/>
            <w:gridSpan w:val="10"/>
          </w:tcPr>
          <w:p w14:paraId="27D954D5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044EF0FC" w14:textId="77777777" w:rsidTr="00017474">
        <w:tc>
          <w:tcPr>
            <w:tcW w:w="5000" w:type="pct"/>
            <w:gridSpan w:val="10"/>
          </w:tcPr>
          <w:p w14:paraId="07B6A119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017474" w:rsidRPr="00D93A66" w14:paraId="06786775" w14:textId="77777777" w:rsidTr="00017474">
        <w:trPr>
          <w:trHeight w:val="596"/>
        </w:trPr>
        <w:tc>
          <w:tcPr>
            <w:tcW w:w="1433" w:type="pct"/>
            <w:gridSpan w:val="2"/>
          </w:tcPr>
          <w:p w14:paraId="637FB029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34961313" w14:textId="18C8F416" w:rsidR="00A07371" w:rsidRPr="00A07371" w:rsidRDefault="00A07371" w:rsidP="00B63CF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07371">
              <w:rPr>
                <w:rFonts w:cstheme="minorHAnsi" w:hint="eastAsia"/>
                <w:bCs/>
                <w:sz w:val="24"/>
                <w:szCs w:val="24"/>
              </w:rPr>
              <w:t>A</w:t>
            </w:r>
            <w:r w:rsidRPr="00A07371">
              <w:rPr>
                <w:rFonts w:cstheme="minorHAnsi"/>
                <w:bCs/>
                <w:sz w:val="24"/>
                <w:szCs w:val="24"/>
              </w:rPr>
              <w:t>PG23-5/OUT-29</w:t>
            </w:r>
          </w:p>
        </w:tc>
        <w:tc>
          <w:tcPr>
            <w:tcW w:w="3567" w:type="pct"/>
            <w:gridSpan w:val="8"/>
          </w:tcPr>
          <w:p w14:paraId="604EBD7C" w14:textId="33ECBCAA" w:rsidR="00182BA2" w:rsidRPr="00751B6C" w:rsidRDefault="00182BA2" w:rsidP="00182BA2">
            <w:pPr>
              <w:spacing w:afterLines="50" w:after="120"/>
              <w:jc w:val="left"/>
              <w:rPr>
                <w:bCs/>
                <w:sz w:val="24"/>
                <w:szCs w:val="32"/>
                <w:lang w:eastAsia="zh-CN"/>
              </w:rPr>
            </w:pPr>
            <w:r w:rsidRPr="00751B6C">
              <w:rPr>
                <w:bCs/>
                <w:sz w:val="24"/>
                <w:szCs w:val="32"/>
                <w:lang w:val="en-NZ" w:eastAsia="zh-CN"/>
              </w:rPr>
              <w:t xml:space="preserve">APT Members are </w:t>
            </w:r>
            <w:r w:rsidRPr="00751B6C">
              <w:rPr>
                <w:bCs/>
                <w:sz w:val="24"/>
                <w:szCs w:val="32"/>
                <w:lang w:eastAsia="zh-CN"/>
              </w:rPr>
              <w:t>the view of that satellite-to-satellite link transmissions should comply with the same directionality indicators as in the existing FSS allocations (Earth-to-space = from user space station to service provider space station, space-to-Earth =from service provider space station to user space station).</w:t>
            </w:r>
          </w:p>
          <w:p w14:paraId="47C83A81" w14:textId="77777777" w:rsidR="00182BA2" w:rsidRPr="00751B6C" w:rsidRDefault="00182BA2" w:rsidP="00182BA2">
            <w:pPr>
              <w:spacing w:afterLines="50" w:after="120"/>
              <w:jc w:val="left"/>
              <w:rPr>
                <w:sz w:val="24"/>
                <w:szCs w:val="32"/>
              </w:rPr>
            </w:pPr>
            <w:r w:rsidRPr="00751B6C">
              <w:rPr>
                <w:sz w:val="24"/>
                <w:szCs w:val="32"/>
              </w:rPr>
              <w:t xml:space="preserve">APT Members are the view of that the use of these bands for satellite-to-satellite links needs to protect the FSS in these bands, </w:t>
            </w:r>
            <w:proofErr w:type="gramStart"/>
            <w:r w:rsidRPr="00751B6C">
              <w:rPr>
                <w:sz w:val="24"/>
                <w:szCs w:val="32"/>
              </w:rPr>
              <w:t>taking into account</w:t>
            </w:r>
            <w:proofErr w:type="gramEnd"/>
            <w:r w:rsidRPr="00751B6C">
              <w:rPr>
                <w:sz w:val="24"/>
                <w:szCs w:val="32"/>
              </w:rPr>
              <w:t xml:space="preserve"> that the parts of these frequency bands studied under the agenda item are the core FSS bands which are used for telecommunication infrastructure in many countries. </w:t>
            </w:r>
          </w:p>
          <w:p w14:paraId="67793563" w14:textId="77777777" w:rsidR="00182BA2" w:rsidRPr="00751B6C" w:rsidRDefault="00182BA2" w:rsidP="00182BA2">
            <w:pPr>
              <w:spacing w:afterLines="50" w:after="120"/>
              <w:jc w:val="left"/>
              <w:rPr>
                <w:bCs/>
                <w:sz w:val="24"/>
                <w:szCs w:val="32"/>
                <w:lang w:eastAsia="zh-CN"/>
              </w:rPr>
            </w:pPr>
            <w:r w:rsidRPr="00751B6C">
              <w:rPr>
                <w:bCs/>
                <w:sz w:val="24"/>
                <w:szCs w:val="32"/>
                <w:lang w:eastAsia="zh-CN"/>
              </w:rPr>
              <w:t xml:space="preserve">APT Members are also the view of that significant additional work is required to develop a practical regulatory regime that will enable viable space-to-space operations (between both GSO and non-GSO service provider space stations and associated user non-GSO space stations) while at the same time ensuring that the space-to-space operation shall not cause unacceptable interference to other space services and nor claim protection from FSS. </w:t>
            </w:r>
          </w:p>
          <w:p w14:paraId="3001FE98" w14:textId="77777777" w:rsidR="00182BA2" w:rsidRPr="00751B6C" w:rsidRDefault="00182BA2" w:rsidP="00182BA2">
            <w:pPr>
              <w:spacing w:afterLines="50" w:after="120"/>
              <w:jc w:val="left"/>
              <w:rPr>
                <w:sz w:val="24"/>
                <w:szCs w:val="32"/>
                <w:lang w:eastAsia="zh-CN"/>
              </w:rPr>
            </w:pPr>
            <w:r w:rsidRPr="00751B6C">
              <w:rPr>
                <w:sz w:val="24"/>
                <w:szCs w:val="32"/>
                <w:lang w:eastAsia="zh-CN"/>
              </w:rPr>
              <w:t xml:space="preserve">APT Members are of the view that currently there is no coordination procedure to protect other services, </w:t>
            </w:r>
            <w:proofErr w:type="gramStart"/>
            <w:r w:rsidRPr="00751B6C">
              <w:rPr>
                <w:sz w:val="24"/>
                <w:szCs w:val="32"/>
                <w:lang w:eastAsia="zh-CN"/>
              </w:rPr>
              <w:t>in particular FSS</w:t>
            </w:r>
            <w:proofErr w:type="gramEnd"/>
            <w:r w:rsidRPr="00751B6C">
              <w:rPr>
                <w:sz w:val="24"/>
                <w:szCs w:val="32"/>
                <w:lang w:eastAsia="zh-CN"/>
              </w:rPr>
              <w:t>, from inter-satellite link, composed of GSO and non-GSO links. See Rules of Procedure in this regard.</w:t>
            </w:r>
          </w:p>
          <w:p w14:paraId="5790C8B6" w14:textId="77777777" w:rsidR="00182BA2" w:rsidRPr="00751B6C" w:rsidRDefault="00182BA2" w:rsidP="00182BA2">
            <w:pPr>
              <w:spacing w:afterLines="50" w:after="120"/>
              <w:jc w:val="left"/>
              <w:rPr>
                <w:sz w:val="24"/>
                <w:szCs w:val="32"/>
                <w:lang w:eastAsia="zh-CN"/>
              </w:rPr>
            </w:pPr>
            <w:r w:rsidRPr="00751B6C">
              <w:rPr>
                <w:rFonts w:hint="eastAsia"/>
                <w:sz w:val="24"/>
                <w:szCs w:val="32"/>
              </w:rPr>
              <w:t>A</w:t>
            </w:r>
            <w:r w:rsidRPr="00751B6C">
              <w:rPr>
                <w:sz w:val="24"/>
                <w:szCs w:val="32"/>
              </w:rPr>
              <w:t>PT Members support satellite-to-satellite transmissions “within the cone of coverage” concept of operations.</w:t>
            </w:r>
          </w:p>
          <w:p w14:paraId="6870D07F" w14:textId="77777777" w:rsidR="00182BA2" w:rsidRPr="00751B6C" w:rsidRDefault="00182BA2" w:rsidP="00182BA2">
            <w:pPr>
              <w:spacing w:afterLines="50" w:after="120"/>
              <w:jc w:val="left"/>
              <w:rPr>
                <w:sz w:val="24"/>
                <w:szCs w:val="32"/>
              </w:rPr>
            </w:pPr>
            <w:r w:rsidRPr="00751B6C">
              <w:rPr>
                <w:rFonts w:hint="eastAsia"/>
                <w:bCs/>
                <w:sz w:val="24"/>
                <w:szCs w:val="32"/>
                <w:lang w:val="en-NZ" w:eastAsia="zh-CN"/>
              </w:rPr>
              <w:t>W</w:t>
            </w:r>
            <w:r w:rsidRPr="00751B6C">
              <w:rPr>
                <w:bCs/>
                <w:sz w:val="24"/>
                <w:szCs w:val="32"/>
                <w:lang w:val="en-NZ" w:eastAsia="zh-CN"/>
              </w:rPr>
              <w:t xml:space="preserve">ith respect to the studies carried out under this agenda, as contained in the report of CPM23-2, APT members </w:t>
            </w:r>
            <w:r w:rsidRPr="00751B6C">
              <w:rPr>
                <w:sz w:val="24"/>
                <w:szCs w:val="32"/>
              </w:rPr>
              <w:t xml:space="preserve">support the exclusion of </w:t>
            </w:r>
            <w:r w:rsidRPr="00751B6C">
              <w:rPr>
                <w:sz w:val="24"/>
                <w:szCs w:val="32"/>
                <w:lang w:eastAsia="zh-CN"/>
              </w:rPr>
              <w:t>11.7-12.2 GHz</w:t>
            </w:r>
            <w:r w:rsidRPr="00751B6C">
              <w:rPr>
                <w:sz w:val="24"/>
                <w:szCs w:val="32"/>
              </w:rPr>
              <w:t xml:space="preserve"> in Region 3 for this agenda item. </w:t>
            </w:r>
          </w:p>
          <w:p w14:paraId="4AFB84EF" w14:textId="77777777" w:rsidR="00182BA2" w:rsidRPr="00751B6C" w:rsidRDefault="00182BA2" w:rsidP="00182BA2">
            <w:pPr>
              <w:spacing w:afterLines="50" w:after="120"/>
              <w:jc w:val="left"/>
              <w:rPr>
                <w:bCs/>
                <w:sz w:val="24"/>
                <w:szCs w:val="32"/>
                <w:lang w:val="en-NZ" w:eastAsia="zh-CN"/>
              </w:rPr>
            </w:pPr>
            <w:bookmarkStart w:id="0" w:name="_Hlk87267629"/>
            <w:r w:rsidRPr="00751B6C">
              <w:rPr>
                <w:sz w:val="24"/>
                <w:szCs w:val="32"/>
              </w:rPr>
              <w:t xml:space="preserve">APT Members are of the view that the technical conditions and regulatory provisions developed under WRC-23 agenda item 1.17 shall ensure not causing unacceptable </w:t>
            </w:r>
            <w:proofErr w:type="spellStart"/>
            <w:r w:rsidRPr="00751B6C">
              <w:rPr>
                <w:sz w:val="24"/>
                <w:szCs w:val="32"/>
              </w:rPr>
              <w:t>interferenc</w:t>
            </w:r>
            <w:proofErr w:type="spellEnd"/>
            <w:r w:rsidRPr="00751B6C">
              <w:rPr>
                <w:bCs/>
                <w:sz w:val="24"/>
                <w:szCs w:val="32"/>
                <w:lang w:val="en-NZ" w:eastAsia="zh-CN"/>
              </w:rPr>
              <w:t>e and nor claim protection from</w:t>
            </w:r>
            <w:r w:rsidRPr="00751B6C" w:rsidDel="00B15521">
              <w:rPr>
                <w:bCs/>
                <w:sz w:val="24"/>
                <w:szCs w:val="32"/>
                <w:lang w:val="en-NZ" w:eastAsia="zh-CN"/>
              </w:rPr>
              <w:t xml:space="preserve"> </w:t>
            </w:r>
            <w:r w:rsidRPr="00751B6C">
              <w:rPr>
                <w:bCs/>
                <w:sz w:val="24"/>
                <w:szCs w:val="32"/>
                <w:lang w:val="en-NZ" w:eastAsia="zh-CN"/>
              </w:rPr>
              <w:t>the terrestrial services operating in the frequency band 27.5-29.5 GHz.</w:t>
            </w:r>
            <w:bookmarkEnd w:id="0"/>
          </w:p>
          <w:p w14:paraId="7C66953E" w14:textId="2E2794C6" w:rsidR="0077095D" w:rsidRPr="00E00EC9" w:rsidRDefault="00182BA2" w:rsidP="00182BA2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51B6C">
              <w:rPr>
                <w:bCs/>
                <w:sz w:val="24"/>
                <w:szCs w:val="32"/>
                <w:lang w:val="en-NZ" w:eastAsia="zh-CN"/>
              </w:rPr>
              <w:t xml:space="preserve">APT Members are the view of that the notifying administration of satellite-to-satellite transmissions when submitting Appendix </w:t>
            </w:r>
            <w:r w:rsidRPr="00751B6C">
              <w:rPr>
                <w:b/>
                <w:sz w:val="24"/>
                <w:szCs w:val="32"/>
                <w:lang w:val="en-NZ" w:eastAsia="zh-CN"/>
              </w:rPr>
              <w:t>4</w:t>
            </w:r>
            <w:r w:rsidRPr="00751B6C">
              <w:rPr>
                <w:bCs/>
                <w:sz w:val="24"/>
                <w:szCs w:val="32"/>
                <w:lang w:val="en-NZ" w:eastAsia="zh-CN"/>
              </w:rPr>
              <w:t xml:space="preserve"> data elements to the Bur</w:t>
            </w:r>
            <w:r w:rsidRPr="00751B6C">
              <w:rPr>
                <w:bCs/>
                <w:sz w:val="24"/>
                <w:szCs w:val="32"/>
                <w:lang w:val="en-NZ" w:eastAsia="zh-CN"/>
              </w:rPr>
              <w:lastRenderedPageBreak/>
              <w:t>eau shall also send a firm commitment undertaking that in case of any interference to</w:t>
            </w:r>
            <w:r w:rsidRPr="00751B6C">
              <w:rPr>
                <w:bCs/>
                <w:sz w:val="24"/>
                <w:szCs w:val="32"/>
                <w:lang w:eastAsia="zh-CN"/>
              </w:rPr>
              <w:t xml:space="preserve"> </w:t>
            </w:r>
            <w:r w:rsidRPr="00751B6C">
              <w:rPr>
                <w:bCs/>
                <w:sz w:val="24"/>
                <w:szCs w:val="32"/>
                <w:lang w:val="en-NZ" w:eastAsia="zh-CN"/>
              </w:rPr>
              <w:t>FSS or terrestrial services, shall immediately cease emission or reduce it to the acceptable level to the interfered assignments.</w:t>
            </w:r>
          </w:p>
        </w:tc>
      </w:tr>
      <w:tr w:rsidR="00017474" w:rsidRPr="00D93A66" w14:paraId="2ADD1146" w14:textId="77777777" w:rsidTr="00017474">
        <w:trPr>
          <w:trHeight w:val="889"/>
        </w:trPr>
        <w:tc>
          <w:tcPr>
            <w:tcW w:w="1433" w:type="pct"/>
            <w:gridSpan w:val="2"/>
          </w:tcPr>
          <w:p w14:paraId="5425B7C3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APT Views for modification of CPM Report</w:t>
            </w:r>
          </w:p>
          <w:p w14:paraId="46079FE3" w14:textId="77777777" w:rsidR="0077095D" w:rsidRPr="00D93A66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3567" w:type="pct"/>
            <w:gridSpan w:val="8"/>
          </w:tcPr>
          <w:p w14:paraId="2D04C3EC" w14:textId="662B60B4" w:rsidR="0077095D" w:rsidRPr="00E00EC9" w:rsidRDefault="00017474" w:rsidP="004C71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017474" w:rsidRPr="00D93A66" w14:paraId="622B82F0" w14:textId="77777777" w:rsidTr="00017474">
        <w:tc>
          <w:tcPr>
            <w:tcW w:w="1433" w:type="pct"/>
            <w:gridSpan w:val="2"/>
          </w:tcPr>
          <w:p w14:paraId="7DEC6A6A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71BB695A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3567" w:type="pct"/>
            <w:gridSpan w:val="8"/>
          </w:tcPr>
          <w:p w14:paraId="3DC5A3D9" w14:textId="284083C2" w:rsidR="0077095D" w:rsidRPr="00D93A66" w:rsidRDefault="00017474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77095D" w:rsidRPr="00D93A66" w14:paraId="6E1DA441" w14:textId="77777777" w:rsidTr="00017474">
        <w:tc>
          <w:tcPr>
            <w:tcW w:w="5000" w:type="pct"/>
            <w:gridSpan w:val="10"/>
          </w:tcPr>
          <w:p w14:paraId="3A4B197D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018F6206" w14:textId="77777777" w:rsidTr="00017474">
        <w:tc>
          <w:tcPr>
            <w:tcW w:w="5000" w:type="pct"/>
            <w:gridSpan w:val="10"/>
          </w:tcPr>
          <w:p w14:paraId="02333546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017474" w:rsidRPr="00D93A66" w14:paraId="2F3DB95E" w14:textId="77777777" w:rsidTr="00BB78A7">
        <w:tc>
          <w:tcPr>
            <w:tcW w:w="725" w:type="pct"/>
          </w:tcPr>
          <w:p w14:paraId="74B03E5F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5" w:type="pct"/>
            <w:gridSpan w:val="3"/>
          </w:tcPr>
          <w:p w14:paraId="2855AA35" w14:textId="77777777" w:rsidR="007E7577" w:rsidRDefault="007E7577" w:rsidP="00BB78A7">
            <w:pPr>
              <w:spacing w:afterLines="5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gridSpan w:val="2"/>
          </w:tcPr>
          <w:p w14:paraId="796F890B" w14:textId="77777777" w:rsidR="007E7577" w:rsidRDefault="007E7577" w:rsidP="00BB78A7">
            <w:pPr>
              <w:spacing w:afterLines="5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855" w:type="pct"/>
            <w:gridSpan w:val="2"/>
          </w:tcPr>
          <w:p w14:paraId="46E96A60" w14:textId="77777777" w:rsidR="007E7577" w:rsidRDefault="007E7577" w:rsidP="00BB78A7">
            <w:pPr>
              <w:spacing w:afterLines="5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855" w:type="pct"/>
          </w:tcPr>
          <w:p w14:paraId="03A2B6A0" w14:textId="77777777" w:rsidR="007E7577" w:rsidRDefault="007E7577" w:rsidP="00BB78A7">
            <w:pPr>
              <w:spacing w:afterLines="5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855" w:type="pct"/>
          </w:tcPr>
          <w:p w14:paraId="1444D21F" w14:textId="77777777" w:rsidR="007E7577" w:rsidRDefault="007E7577" w:rsidP="00BB78A7">
            <w:pPr>
              <w:spacing w:afterLines="5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017474" w:rsidRPr="00D93A66" w14:paraId="75D5B00E" w14:textId="77777777" w:rsidTr="00BB78A7">
        <w:tc>
          <w:tcPr>
            <w:tcW w:w="725" w:type="pct"/>
          </w:tcPr>
          <w:p w14:paraId="6DFD1746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855" w:type="pct"/>
            <w:gridSpan w:val="3"/>
          </w:tcPr>
          <w:p w14:paraId="2172C740" w14:textId="188DF132" w:rsidR="007E7577" w:rsidRDefault="007E7577" w:rsidP="00BB78A7">
            <w:pPr>
              <w:spacing w:afterLines="5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r w:rsidR="00FB468D">
              <w:rPr>
                <w:rFonts w:cstheme="minorHAnsi"/>
                <w:bCs/>
                <w:sz w:val="24"/>
                <w:szCs w:val="24"/>
              </w:rPr>
              <w:t>143</w:t>
            </w:r>
          </w:p>
        </w:tc>
        <w:tc>
          <w:tcPr>
            <w:tcW w:w="855" w:type="pct"/>
            <w:gridSpan w:val="2"/>
          </w:tcPr>
          <w:p w14:paraId="4B52AE9A" w14:textId="5E12B2F1" w:rsidR="007E7577" w:rsidRDefault="007E7577" w:rsidP="00BB78A7">
            <w:pPr>
              <w:spacing w:afterLines="5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r w:rsidR="008B3570"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855" w:type="pct"/>
            <w:gridSpan w:val="2"/>
          </w:tcPr>
          <w:p w14:paraId="3E01274E" w14:textId="0BC3DAC3" w:rsidR="007E7577" w:rsidRDefault="007E7577" w:rsidP="00BB78A7">
            <w:pPr>
              <w:spacing w:afterLines="5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r w:rsidR="00FB468D">
              <w:rPr>
                <w:rFonts w:cstheme="minorHAnsi"/>
                <w:bCs/>
                <w:sz w:val="24"/>
                <w:szCs w:val="24"/>
              </w:rPr>
              <w:t>193</w:t>
            </w:r>
          </w:p>
        </w:tc>
        <w:tc>
          <w:tcPr>
            <w:tcW w:w="855" w:type="pct"/>
          </w:tcPr>
          <w:p w14:paraId="4D4DC19D" w14:textId="46D21764" w:rsidR="007E7577" w:rsidRDefault="000F3791" w:rsidP="00BB78A7">
            <w:pPr>
              <w:spacing w:afterLines="5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791">
              <w:rPr>
                <w:rFonts w:cstheme="minorHAnsi"/>
                <w:bCs/>
                <w:sz w:val="24"/>
                <w:szCs w:val="24"/>
              </w:rPr>
              <w:t>APG23-5/INF-4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5" w:type="pct"/>
          </w:tcPr>
          <w:p w14:paraId="3B097B8D" w14:textId="7908287D" w:rsidR="007E7577" w:rsidRDefault="000F3791" w:rsidP="00BB78A7">
            <w:pPr>
              <w:spacing w:afterLines="5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791">
              <w:rPr>
                <w:rFonts w:cstheme="minorHAnsi"/>
                <w:bCs/>
                <w:sz w:val="24"/>
                <w:szCs w:val="24"/>
              </w:rPr>
              <w:t>APG23-5/INF-45</w:t>
            </w:r>
          </w:p>
        </w:tc>
      </w:tr>
      <w:tr w:rsidR="00017474" w:rsidRPr="00FB468D" w14:paraId="1516BCB4" w14:textId="77777777" w:rsidTr="00BB78A7">
        <w:tc>
          <w:tcPr>
            <w:tcW w:w="725" w:type="pct"/>
          </w:tcPr>
          <w:p w14:paraId="21CFEF24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855" w:type="pct"/>
            <w:gridSpan w:val="3"/>
          </w:tcPr>
          <w:p w14:paraId="30766F5A" w14:textId="5BB192B1" w:rsidR="00A903B7" w:rsidRPr="00BB78A7" w:rsidRDefault="008E6896" w:rsidP="00BB78A7">
            <w:pPr>
              <w:adjustRightInd w:val="0"/>
              <w:spacing w:afterLines="50" w:after="120"/>
              <w:jc w:val="left"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Support to e</w:t>
            </w:r>
            <w:r w:rsidR="00A903B7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xclude the frequency band 11.7-12.7 GHz</w:t>
            </w:r>
            <w:r w:rsidR="00BB78A7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.</w:t>
            </w:r>
          </w:p>
          <w:p w14:paraId="4115FAD7" w14:textId="165F28EC" w:rsidR="00844BB9" w:rsidRPr="00BB78A7" w:rsidRDefault="008E6896" w:rsidP="00BB78A7">
            <w:pPr>
              <w:adjustRightInd w:val="0"/>
              <w:spacing w:afterLines="50" w:after="120"/>
              <w:jc w:val="left"/>
              <w:rPr>
                <w:rFonts w:cstheme="minorHAnsi" w:hint="eastAsia"/>
                <w:bCs/>
                <w:sz w:val="24"/>
                <w:szCs w:val="24"/>
                <w:lang w:eastAsia="zh-CN"/>
              </w:rPr>
            </w:pP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S</w:t>
            </w: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upport hard limits</w:t>
            </w: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f</w:t>
            </w:r>
            <w:r w:rsidR="00A903B7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or </w:t>
            </w: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incumbent services</w:t>
            </w:r>
            <w:r w:rsidR="00A903B7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protection</w:t>
            </w:r>
            <w:r w:rsidR="00BB78A7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5" w:type="pct"/>
            <w:gridSpan w:val="2"/>
          </w:tcPr>
          <w:p w14:paraId="6C19322D" w14:textId="4655698A" w:rsidR="00844BB9" w:rsidRPr="00BB78A7" w:rsidRDefault="008E6896" w:rsidP="00BB78A7">
            <w:pPr>
              <w:adjustRightInd w:val="0"/>
              <w:spacing w:afterLines="50" w:after="120"/>
              <w:jc w:val="left"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Support to exclude the frequency band 11.7-12.7 GHz</w:t>
            </w:r>
            <w:r w:rsidR="00BB78A7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.</w:t>
            </w:r>
          </w:p>
          <w:p w14:paraId="27B59514" w14:textId="08504DA2" w:rsidR="00844BB9" w:rsidRPr="00BB78A7" w:rsidRDefault="008E6896" w:rsidP="00BB78A7">
            <w:pPr>
              <w:adjustRightInd w:val="0"/>
              <w:spacing w:afterLines="50" w:after="120"/>
              <w:jc w:val="left"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Support to e</w:t>
            </w:r>
            <w:r w:rsidR="00844BB9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xclude the expanded-cone operation.</w:t>
            </w:r>
          </w:p>
          <w:p w14:paraId="048D9F96" w14:textId="1638A6AE" w:rsidR="00851681" w:rsidRPr="00BB78A7" w:rsidRDefault="00851681" w:rsidP="00BB78A7">
            <w:pPr>
              <w:adjustRightInd w:val="0"/>
              <w:spacing w:afterLines="50" w:after="120"/>
              <w:jc w:val="left"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Support the ISS identification</w:t>
            </w:r>
            <w:r w:rsidR="00BB78A7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.</w:t>
            </w:r>
          </w:p>
          <w:p w14:paraId="0344DDE1" w14:textId="29ED789B" w:rsidR="007E7577" w:rsidRPr="00BB78A7" w:rsidRDefault="008E6896" w:rsidP="00BB78A7">
            <w:pPr>
              <w:adjustRightInd w:val="0"/>
              <w:spacing w:afterLines="50" w:after="120"/>
              <w:jc w:val="left"/>
              <w:rPr>
                <w:rFonts w:cstheme="minorHAnsi" w:hint="eastAsia"/>
                <w:bCs/>
                <w:sz w:val="24"/>
                <w:szCs w:val="24"/>
                <w:lang w:eastAsia="zh-CN"/>
              </w:rPr>
            </w:pP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Support hard limits for incumbent services protection</w:t>
            </w:r>
            <w:r w:rsidR="00BB78A7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5" w:type="pct"/>
            <w:gridSpan w:val="2"/>
          </w:tcPr>
          <w:p w14:paraId="00AA1A3A" w14:textId="521C6086" w:rsidR="00236C84" w:rsidRPr="00BB78A7" w:rsidRDefault="00BB78A7" w:rsidP="00BB78A7">
            <w:pPr>
              <w:adjustRightInd w:val="0"/>
              <w:spacing w:afterLines="50" w:after="120"/>
              <w:jc w:val="left"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Support to e</w:t>
            </w:r>
            <w:r w:rsidR="00236C84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xclude the frequency band 11.7-12.7 </w:t>
            </w:r>
            <w:proofErr w:type="gramStart"/>
            <w:r w:rsidR="00236C84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GHz</w:t>
            </w:r>
            <w:proofErr w:type="gramEnd"/>
          </w:p>
          <w:p w14:paraId="0400B711" w14:textId="4967195E" w:rsidR="007E7577" w:rsidRPr="00BB78A7" w:rsidRDefault="00BB78A7" w:rsidP="00BB78A7">
            <w:pPr>
              <w:adjustRightInd w:val="0"/>
              <w:spacing w:afterLines="50" w:after="120"/>
              <w:jc w:val="left"/>
              <w:rPr>
                <w:rFonts w:cstheme="minorHAnsi" w:hint="eastAsia"/>
                <w:bCs/>
                <w:sz w:val="24"/>
                <w:szCs w:val="24"/>
                <w:lang w:eastAsia="zh-CN"/>
              </w:rPr>
            </w:pP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Support hard limits for incumbent services protection.</w:t>
            </w:r>
          </w:p>
        </w:tc>
        <w:tc>
          <w:tcPr>
            <w:tcW w:w="855" w:type="pct"/>
          </w:tcPr>
          <w:p w14:paraId="2FA3F40B" w14:textId="3FD616CC" w:rsidR="00BB78A7" w:rsidRPr="00BB78A7" w:rsidRDefault="00BB78A7" w:rsidP="00BB78A7">
            <w:pPr>
              <w:adjustRightInd w:val="0"/>
              <w:spacing w:afterLines="50" w:after="120"/>
              <w:jc w:val="left"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Support to exclude the frequency band 11.7-12.7 GHz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.</w:t>
            </w:r>
          </w:p>
          <w:p w14:paraId="31E28185" w14:textId="34DE9B80" w:rsidR="00236C84" w:rsidRPr="00BB78A7" w:rsidRDefault="00BB78A7" w:rsidP="00BB78A7">
            <w:pPr>
              <w:adjustRightInd w:val="0"/>
              <w:spacing w:afterLines="50" w:after="120"/>
              <w:jc w:val="left"/>
              <w:rPr>
                <w:rFonts w:cstheme="minorHAnsi"/>
                <w:bCs/>
                <w:sz w:val="24"/>
                <w:szCs w:val="24"/>
                <w:lang w:eastAsia="zh-CN"/>
              </w:rPr>
            </w:pP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Support </w:t>
            </w:r>
            <w:r w:rsidR="00236C84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to ISS allocation with “within the cone” concept.</w:t>
            </w:r>
          </w:p>
          <w:p w14:paraId="2A7BAEBE" w14:textId="1D2105FD" w:rsidR="007E7577" w:rsidRPr="00BB78A7" w:rsidRDefault="00255D08" w:rsidP="00BB78A7">
            <w:pPr>
              <w:adjustRightInd w:val="0"/>
              <w:spacing w:afterLines="50" w:after="120"/>
              <w:jc w:val="left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/>
                <w:bCs/>
                <w:sz w:val="24"/>
                <w:szCs w:val="24"/>
                <w:lang w:eastAsia="zh-CN"/>
              </w:rPr>
              <w:t>Support</w:t>
            </w:r>
            <w:r w:rsidR="00E24641" w:rsidRPr="00BB78A7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to exclude the MSS bands in 29.1-29.5 GHz.</w:t>
            </w:r>
          </w:p>
        </w:tc>
        <w:tc>
          <w:tcPr>
            <w:tcW w:w="855" w:type="pct"/>
          </w:tcPr>
          <w:p w14:paraId="65EB75E5" w14:textId="5E43177B" w:rsidR="007E7577" w:rsidRPr="00BB78A7" w:rsidRDefault="00BB78A7" w:rsidP="00BB78A7">
            <w:pPr>
              <w:adjustRightInd w:val="0"/>
              <w:spacing w:afterLines="50" w:after="120"/>
              <w:jc w:val="left"/>
              <w:rPr>
                <w:rFonts w:cstheme="minorHAnsi" w:hint="eastAsia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P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rotect</w:t>
            </w:r>
            <w:r w:rsidR="00255D08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r w:rsidRPr="00BB78A7">
              <w:rPr>
                <w:rFonts w:cstheme="minorHAnsi"/>
                <w:bCs/>
                <w:sz w:val="24"/>
                <w:szCs w:val="24"/>
                <w:lang w:eastAsia="zh-CN"/>
              </w:rPr>
              <w:t>incumbent services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and no additional constraints.</w:t>
            </w:r>
          </w:p>
        </w:tc>
      </w:tr>
      <w:tr w:rsidR="006C7438" w:rsidRPr="00D93A66" w14:paraId="7BCD1FE4" w14:textId="77777777" w:rsidTr="00017474">
        <w:tc>
          <w:tcPr>
            <w:tcW w:w="5000" w:type="pct"/>
            <w:gridSpan w:val="10"/>
          </w:tcPr>
          <w:p w14:paraId="245213C5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3D3300BB" w14:textId="77777777" w:rsidTr="00017474">
        <w:tc>
          <w:tcPr>
            <w:tcW w:w="5000" w:type="pct"/>
            <w:gridSpan w:val="10"/>
          </w:tcPr>
          <w:p w14:paraId="074D57EE" w14:textId="77777777" w:rsidR="0077095D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017474" w:rsidRPr="00D93A66" w14:paraId="1F782D61" w14:textId="77777777" w:rsidTr="00017474">
        <w:tc>
          <w:tcPr>
            <w:tcW w:w="1497" w:type="pct"/>
            <w:gridSpan w:val="3"/>
          </w:tcPr>
          <w:p w14:paraId="68AFD368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503" w:type="pct"/>
            <w:gridSpan w:val="7"/>
          </w:tcPr>
          <w:p w14:paraId="3ED8DA10" w14:textId="77777777" w:rsidR="006C7438" w:rsidRDefault="006C7438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[include number and hyper link to relevant working documents</w:t>
            </w:r>
            <w:r w:rsidR="00580AA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80AA6">
              <w:rPr>
                <w:rFonts w:cstheme="minorHAnsi"/>
                <w:bCs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]</w:t>
            </w:r>
          </w:p>
          <w:p w14:paraId="3C4E35F1" w14:textId="021C882F" w:rsidR="00B26200" w:rsidRPr="0077095D" w:rsidRDefault="00A76EB1" w:rsidP="006C7438">
            <w:pPr>
              <w:jc w:val="left"/>
              <w:rPr>
                <w:rFonts w:cstheme="minorHAnsi" w:hint="eastAsia"/>
                <w:bCs/>
                <w:sz w:val="24"/>
                <w:szCs w:val="24"/>
              </w:rPr>
            </w:pPr>
            <w:hyperlink r:id="rId7" w:history="1">
              <w:r w:rsidRPr="00A76EB1">
                <w:rPr>
                  <w:rStyle w:val="Hyperlink"/>
                  <w:rFonts w:cstheme="minorHAnsi"/>
                  <w:bCs/>
                  <w:sz w:val="24"/>
                  <w:szCs w:val="24"/>
                </w:rPr>
                <w:t>DL-019e 02042023.docx</w:t>
              </w:r>
            </w:hyperlink>
          </w:p>
        </w:tc>
      </w:tr>
      <w:tr w:rsidR="006C7438" w:rsidRPr="00D93A66" w14:paraId="0107D977" w14:textId="77777777" w:rsidTr="00C5542B">
        <w:tc>
          <w:tcPr>
            <w:tcW w:w="5000" w:type="pct"/>
            <w:gridSpan w:val="10"/>
            <w:vAlign w:val="center"/>
          </w:tcPr>
          <w:p w14:paraId="3B5EC32E" w14:textId="28D30264" w:rsidR="006F510E" w:rsidRDefault="0035648F" w:rsidP="00020622">
            <w:pPr>
              <w:spacing w:afterLines="50" w:after="120"/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SWG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-</w:t>
            </w:r>
            <w:r w:rsidR="006F510E">
              <w:rPr>
                <w:rFonts w:cstheme="minorHAnsi"/>
                <w:bCs/>
                <w:sz w:val="24"/>
                <w:szCs w:val="24"/>
                <w:lang w:eastAsia="zh-CN"/>
              </w:rPr>
              <w:t>4C</w:t>
            </w:r>
            <w:r w:rsidR="00261B5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61B59">
              <w:rPr>
                <w:rFonts w:cstheme="minorHAnsi"/>
                <w:bCs/>
                <w:sz w:val="24"/>
                <w:szCs w:val="24"/>
                <w:lang w:eastAsia="zh-CN"/>
              </w:rPr>
              <w:t>a.i.</w:t>
            </w:r>
            <w:proofErr w:type="spellEnd"/>
            <w:r w:rsidR="00261B5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1.17 met 6 times. At the same time, SWG-4C </w:t>
            </w:r>
            <w:proofErr w:type="spellStart"/>
            <w:r w:rsidR="00261B59">
              <w:rPr>
                <w:rFonts w:cstheme="minorHAnsi"/>
                <w:bCs/>
                <w:sz w:val="24"/>
                <w:szCs w:val="24"/>
                <w:lang w:eastAsia="zh-CN"/>
              </w:rPr>
              <w:t>a.i.</w:t>
            </w:r>
            <w:proofErr w:type="spellEnd"/>
            <w:r w:rsidR="00261B5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1.17 established five Drafting Group for </w:t>
            </w:r>
            <w:r w:rsidR="00261B59" w:rsidRPr="00261B59">
              <w:rPr>
                <w:rFonts w:cstheme="minorHAnsi"/>
                <w:bCs/>
                <w:sz w:val="24"/>
                <w:szCs w:val="24"/>
                <w:lang w:eastAsia="zh-CN"/>
              </w:rPr>
              <w:t>terrestrial</w:t>
            </w:r>
            <w:r w:rsidR="00261B59" w:rsidRPr="00261B59">
              <w:rPr>
                <w:rFonts w:cstheme="minorHAnsi"/>
                <w:bCs/>
                <w:sz w:val="24"/>
                <w:szCs w:val="24"/>
                <w:lang w:eastAsia="zh-CN"/>
              </w:rPr>
              <w:t>, GSO, NGSO and EESS protection and Article 5&amp; Appendix 4</w:t>
            </w:r>
            <w:r w:rsidR="00261B59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and discussed the relevant issues, respectively.</w:t>
            </w:r>
          </w:p>
          <w:p w14:paraId="60719902" w14:textId="7650E38C" w:rsidR="000217CD" w:rsidRPr="00261B59" w:rsidRDefault="00A76EB1" w:rsidP="00020622">
            <w:pPr>
              <w:spacing w:afterLines="50" w:after="120"/>
              <w:rPr>
                <w:rFonts w:cstheme="minorHAnsi" w:hint="eastAsia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t this stage, two methods are included in the CPM text. Method A is NOC, and Method B </w:t>
            </w:r>
            <w:r w:rsidR="0015045F">
              <w:rPr>
                <w:rFonts w:cstheme="minorHAnsi"/>
                <w:bCs/>
                <w:sz w:val="24"/>
                <w:szCs w:val="24"/>
                <w:lang w:eastAsia="zh-CN"/>
              </w:rPr>
              <w:t>addresses the regulatory solution including alternatives depending on the type of allocation. Within Method B there are several options that are considered within each of the alternatives for necessary provisions to ensure the protection of incumbent services.</w:t>
            </w:r>
          </w:p>
        </w:tc>
      </w:tr>
      <w:tr w:rsidR="007E7577" w:rsidRPr="00D93A66" w14:paraId="004EE91A" w14:textId="77777777" w:rsidTr="00017474">
        <w:tc>
          <w:tcPr>
            <w:tcW w:w="5000" w:type="pct"/>
            <w:gridSpan w:val="10"/>
          </w:tcPr>
          <w:p w14:paraId="252E67C0" w14:textId="785584F6" w:rsidR="007E7577" w:rsidRPr="0077095D" w:rsidRDefault="00B26200" w:rsidP="009E582F">
            <w:pPr>
              <w:rPr>
                <w:rFonts w:cstheme="minorHAnsi"/>
                <w:bCs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Cs/>
                <w:sz w:val="24"/>
                <w:szCs w:val="24"/>
                <w:lang w:eastAsia="zh-CN"/>
              </w:rPr>
              <w:t>The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 exclusion of 11.7-12.7 GHz </w:t>
            </w:r>
            <w:r w:rsidR="001C376A">
              <w:rPr>
                <w:rFonts w:cstheme="minorHAnsi"/>
                <w:bCs/>
                <w:sz w:val="24"/>
                <w:szCs w:val="24"/>
                <w:lang w:eastAsia="zh-CN"/>
              </w:rPr>
              <w:t xml:space="preserve">was agreed </w:t>
            </w:r>
            <w:r>
              <w:rPr>
                <w:rFonts w:cstheme="minorHAnsi"/>
                <w:bCs/>
                <w:sz w:val="24"/>
                <w:szCs w:val="24"/>
                <w:lang w:eastAsia="zh-CN"/>
              </w:rPr>
              <w:t>on the SWG-4C meeting level.</w:t>
            </w:r>
          </w:p>
        </w:tc>
      </w:tr>
      <w:tr w:rsidR="007E7577" w:rsidRPr="00D93A66" w14:paraId="3D24AF75" w14:textId="77777777" w:rsidTr="00017474">
        <w:tc>
          <w:tcPr>
            <w:tcW w:w="5000" w:type="pct"/>
            <w:gridSpan w:val="10"/>
          </w:tcPr>
          <w:p w14:paraId="6E5139D6" w14:textId="5D8763E7" w:rsidR="007E7577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>at APG Coordination meeting</w:t>
            </w:r>
          </w:p>
        </w:tc>
      </w:tr>
      <w:tr w:rsidR="007E7577" w:rsidRPr="00D93A66" w14:paraId="1E121544" w14:textId="77777777" w:rsidTr="00017474">
        <w:tc>
          <w:tcPr>
            <w:tcW w:w="5000" w:type="pct"/>
            <w:gridSpan w:val="10"/>
          </w:tcPr>
          <w:p w14:paraId="436BEA8E" w14:textId="49E6C00A" w:rsidR="007E7577" w:rsidRPr="0077095D" w:rsidRDefault="00020622" w:rsidP="00C61C3A">
            <w:pPr>
              <w:jc w:val="center"/>
              <w:rPr>
                <w:rFonts w:cstheme="minorHAnsi" w:hint="eastAsia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>one</w:t>
            </w:r>
          </w:p>
        </w:tc>
      </w:tr>
    </w:tbl>
    <w:p w14:paraId="36C696B7" w14:textId="77777777" w:rsidR="009977D0" w:rsidRDefault="009977D0"/>
    <w:p w14:paraId="7B90A91E" w14:textId="77777777" w:rsidR="00D93A66" w:rsidRDefault="00D93A66"/>
    <w:p w14:paraId="77B4DE67" w14:textId="77777777" w:rsidR="00D93A66" w:rsidRDefault="00D93A66"/>
    <w:sectPr w:rsidR="00D93A66" w:rsidSect="00017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544A" w14:textId="77777777" w:rsidR="00222E80" w:rsidRDefault="00222E80" w:rsidP="00D93A66">
      <w:pPr>
        <w:spacing w:after="0" w:line="240" w:lineRule="auto"/>
      </w:pPr>
      <w:r>
        <w:separator/>
      </w:r>
    </w:p>
  </w:endnote>
  <w:endnote w:type="continuationSeparator" w:id="0">
    <w:p w14:paraId="727ECBE7" w14:textId="77777777" w:rsidR="00222E80" w:rsidRDefault="00222E80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7E16" w14:textId="77777777" w:rsidR="005462D5" w:rsidRDefault="00546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33E6" w14:textId="77777777" w:rsidR="005462D5" w:rsidRDefault="00546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E665" w14:textId="77777777" w:rsidR="005462D5" w:rsidRDefault="0054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31E4" w14:textId="77777777" w:rsidR="00222E80" w:rsidRDefault="00222E80" w:rsidP="00D93A66">
      <w:pPr>
        <w:spacing w:after="0" w:line="240" w:lineRule="auto"/>
      </w:pPr>
      <w:r>
        <w:separator/>
      </w:r>
    </w:p>
  </w:footnote>
  <w:footnote w:type="continuationSeparator" w:id="0">
    <w:p w14:paraId="113F5551" w14:textId="77777777" w:rsidR="00222E80" w:rsidRDefault="00222E80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C41D" w14:textId="77777777" w:rsidR="005462D5" w:rsidRDefault="0054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047" w14:textId="77777777" w:rsidR="00D93A66" w:rsidRDefault="00D93A66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61E86B46" w14:textId="77777777" w:rsidR="00E00EC9" w:rsidRPr="002C600C" w:rsidRDefault="00E00EC9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2C684136" w14:textId="77777777" w:rsidR="00D93A66" w:rsidRDefault="00D9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DB7C" w14:textId="77777777" w:rsidR="005462D5" w:rsidRDefault="0054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F63"/>
    <w:multiLevelType w:val="hybridMultilevel"/>
    <w:tmpl w:val="5C2C7AAA"/>
    <w:lvl w:ilvl="0" w:tplc="2D0A661E">
      <w:start w:val="1"/>
      <w:numFmt w:val="bullet"/>
      <w:lvlText w:val="-"/>
      <w:lvlJc w:val="left"/>
      <w:pPr>
        <w:ind w:left="440" w:hanging="440"/>
      </w:pPr>
      <w:rPr>
        <w:rFonts w:ascii="Times New Roman" w:eastAsia="BatangChe" w:hAnsi="Times New Roman" w:cs="Times New Roman" w:hint="default"/>
        <w:sz w:val="17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89452C0"/>
    <w:multiLevelType w:val="hybridMultilevel"/>
    <w:tmpl w:val="6A5A9B60"/>
    <w:lvl w:ilvl="0" w:tplc="BEF6759E">
      <w:start w:val="1"/>
      <w:numFmt w:val="bullet"/>
      <w:lvlText w:val="•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689D"/>
    <w:multiLevelType w:val="hybridMultilevel"/>
    <w:tmpl w:val="DE7267A6"/>
    <w:lvl w:ilvl="0" w:tplc="8CD8C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2DD16926"/>
    <w:multiLevelType w:val="hybridMultilevel"/>
    <w:tmpl w:val="3F169A7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C3049"/>
    <w:multiLevelType w:val="hybridMultilevel"/>
    <w:tmpl w:val="1FBA846A"/>
    <w:lvl w:ilvl="0" w:tplc="73B456C0">
      <w:start w:val="2"/>
      <w:numFmt w:val="bullet"/>
      <w:lvlText w:val="–"/>
      <w:lvlJc w:val="left"/>
      <w:pPr>
        <w:ind w:left="440" w:hanging="440"/>
      </w:pPr>
      <w:rPr>
        <w:rFonts w:ascii="Times New Roman" w:eastAsia="Times New Roman" w:hAnsi="Times New Roman" w:cs="Times New Roman" w:hint="default"/>
        <w:sz w:val="17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32A000B"/>
    <w:multiLevelType w:val="hybridMultilevel"/>
    <w:tmpl w:val="B734DF4C"/>
    <w:lvl w:ilvl="0" w:tplc="1E4E204E">
      <w:start w:val="33"/>
      <w:numFmt w:val="bullet"/>
      <w:lvlText w:val="-"/>
      <w:lvlJc w:val="left"/>
      <w:pPr>
        <w:ind w:left="1160" w:hanging="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8" w15:restartNumberingAfterBreak="0">
    <w:nsid w:val="362B3C44"/>
    <w:multiLevelType w:val="hybridMultilevel"/>
    <w:tmpl w:val="05386EFA"/>
    <w:lvl w:ilvl="0" w:tplc="5BA0A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041E34">
      <w:numFmt w:val="bullet"/>
      <w:lvlText w:val="–"/>
      <w:lvlJc w:val="left"/>
      <w:pPr>
        <w:ind w:left="1800" w:hanging="720"/>
      </w:pPr>
      <w:rPr>
        <w:rFonts w:ascii="Times New Roman" w:eastAsia="BatangChe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149E"/>
    <w:multiLevelType w:val="hybridMultilevel"/>
    <w:tmpl w:val="3F3C5DFA"/>
    <w:lvl w:ilvl="0" w:tplc="BEF6759E">
      <w:start w:val="1"/>
      <w:numFmt w:val="bullet"/>
      <w:lvlText w:val="•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39314777"/>
    <w:multiLevelType w:val="hybridMultilevel"/>
    <w:tmpl w:val="D324C2AE"/>
    <w:lvl w:ilvl="0" w:tplc="BEF6759E">
      <w:start w:val="1"/>
      <w:numFmt w:val="bullet"/>
      <w:lvlText w:val="•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49A44CEA"/>
    <w:multiLevelType w:val="hybridMultilevel"/>
    <w:tmpl w:val="E6C6D7BA"/>
    <w:lvl w:ilvl="0" w:tplc="1E4E204E">
      <w:start w:val="33"/>
      <w:numFmt w:val="bullet"/>
      <w:lvlText w:val="-"/>
      <w:lvlJc w:val="left"/>
      <w:pPr>
        <w:ind w:left="440" w:hanging="440"/>
      </w:pPr>
      <w:rPr>
        <w:rFonts w:ascii="Times New Roman" w:eastAsia="Times New Roman" w:hAnsi="Times New Roman" w:cs="Times New Roman" w:hint="default"/>
        <w:sz w:val="17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4AA86333"/>
    <w:multiLevelType w:val="hybridMultilevel"/>
    <w:tmpl w:val="7ECE0426"/>
    <w:lvl w:ilvl="0" w:tplc="BEF6759E">
      <w:start w:val="1"/>
      <w:numFmt w:val="bullet"/>
      <w:lvlText w:val="•"/>
      <w:lvlJc w:val="left"/>
      <w:pPr>
        <w:ind w:left="440" w:hanging="440"/>
      </w:pPr>
      <w:rPr>
        <w:rFonts w:ascii="Wingdings" w:hAnsi="Wingdings" w:hint="default"/>
        <w:sz w:val="17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DC13699"/>
    <w:multiLevelType w:val="hybridMultilevel"/>
    <w:tmpl w:val="B10A703A"/>
    <w:lvl w:ilvl="0" w:tplc="34E49E34">
      <w:start w:val="1"/>
      <w:numFmt w:val="bullet"/>
      <w:lvlText w:val="-"/>
      <w:lvlJc w:val="left"/>
      <w:pPr>
        <w:ind w:left="440" w:hanging="440"/>
      </w:pPr>
      <w:rPr>
        <w:rFonts w:ascii="Times New Roman" w:hAnsi="Times New Roman" w:cs="Times New Roman" w:hint="default"/>
      </w:rPr>
    </w:lvl>
    <w:lvl w:ilvl="1" w:tplc="34E49E34">
      <w:start w:val="1"/>
      <w:numFmt w:val="bullet"/>
      <w:lvlText w:val="-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4667F"/>
    <w:multiLevelType w:val="hybridMultilevel"/>
    <w:tmpl w:val="B976570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00817237">
    <w:abstractNumId w:val="2"/>
  </w:num>
  <w:num w:numId="2" w16cid:durableId="1292443855">
    <w:abstractNumId w:val="5"/>
  </w:num>
  <w:num w:numId="3" w16cid:durableId="1528759231">
    <w:abstractNumId w:val="14"/>
  </w:num>
  <w:num w:numId="4" w16cid:durableId="1414818029">
    <w:abstractNumId w:val="15"/>
  </w:num>
  <w:num w:numId="5" w16cid:durableId="280648272">
    <w:abstractNumId w:val="16"/>
  </w:num>
  <w:num w:numId="6" w16cid:durableId="1861164204">
    <w:abstractNumId w:val="0"/>
  </w:num>
  <w:num w:numId="7" w16cid:durableId="731267620">
    <w:abstractNumId w:val="6"/>
  </w:num>
  <w:num w:numId="8" w16cid:durableId="1675257905">
    <w:abstractNumId w:val="11"/>
  </w:num>
  <w:num w:numId="9" w16cid:durableId="1674456392">
    <w:abstractNumId w:val="12"/>
  </w:num>
  <w:num w:numId="10" w16cid:durableId="1862164584">
    <w:abstractNumId w:val="10"/>
  </w:num>
  <w:num w:numId="11" w16cid:durableId="2035421229">
    <w:abstractNumId w:val="8"/>
  </w:num>
  <w:num w:numId="12" w16cid:durableId="1077361304">
    <w:abstractNumId w:val="1"/>
  </w:num>
  <w:num w:numId="13" w16cid:durableId="36047172">
    <w:abstractNumId w:val="13"/>
  </w:num>
  <w:num w:numId="14" w16cid:durableId="1008600128">
    <w:abstractNumId w:val="7"/>
  </w:num>
  <w:num w:numId="15" w16cid:durableId="1299341422">
    <w:abstractNumId w:val="4"/>
  </w:num>
  <w:num w:numId="16" w16cid:durableId="1847134433">
    <w:abstractNumId w:val="3"/>
  </w:num>
  <w:num w:numId="17" w16cid:durableId="6992820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7"/>
    <w:rsid w:val="00017474"/>
    <w:rsid w:val="00020622"/>
    <w:rsid w:val="000217CD"/>
    <w:rsid w:val="00057D04"/>
    <w:rsid w:val="000A6532"/>
    <w:rsid w:val="000F3791"/>
    <w:rsid w:val="00146908"/>
    <w:rsid w:val="0015045F"/>
    <w:rsid w:val="00173B29"/>
    <w:rsid w:val="00182BA2"/>
    <w:rsid w:val="001C376A"/>
    <w:rsid w:val="00222E80"/>
    <w:rsid w:val="00236C84"/>
    <w:rsid w:val="00255D08"/>
    <w:rsid w:val="00261B59"/>
    <w:rsid w:val="00262640"/>
    <w:rsid w:val="002D2140"/>
    <w:rsid w:val="002F17EF"/>
    <w:rsid w:val="0035648F"/>
    <w:rsid w:val="003642F5"/>
    <w:rsid w:val="00401BD7"/>
    <w:rsid w:val="00430DC8"/>
    <w:rsid w:val="004C71D8"/>
    <w:rsid w:val="004F1D56"/>
    <w:rsid w:val="005462D5"/>
    <w:rsid w:val="00580AA6"/>
    <w:rsid w:val="005E5CFA"/>
    <w:rsid w:val="005E67D2"/>
    <w:rsid w:val="006207F9"/>
    <w:rsid w:val="00652473"/>
    <w:rsid w:val="006A3E99"/>
    <w:rsid w:val="006C7438"/>
    <w:rsid w:val="006E4B4C"/>
    <w:rsid w:val="006F510E"/>
    <w:rsid w:val="00751B6C"/>
    <w:rsid w:val="00756A1B"/>
    <w:rsid w:val="0077095D"/>
    <w:rsid w:val="007E7577"/>
    <w:rsid w:val="00823B52"/>
    <w:rsid w:val="00844BB9"/>
    <w:rsid w:val="00851681"/>
    <w:rsid w:val="00875FA0"/>
    <w:rsid w:val="008B3570"/>
    <w:rsid w:val="008B6CBD"/>
    <w:rsid w:val="008C1AD0"/>
    <w:rsid w:val="008C1D52"/>
    <w:rsid w:val="008E6896"/>
    <w:rsid w:val="008F0F5B"/>
    <w:rsid w:val="00917AC6"/>
    <w:rsid w:val="009977D0"/>
    <w:rsid w:val="009E582F"/>
    <w:rsid w:val="00A07371"/>
    <w:rsid w:val="00A303D4"/>
    <w:rsid w:val="00A76EB1"/>
    <w:rsid w:val="00A903B7"/>
    <w:rsid w:val="00B16274"/>
    <w:rsid w:val="00B26200"/>
    <w:rsid w:val="00B466C9"/>
    <w:rsid w:val="00BA0E45"/>
    <w:rsid w:val="00BB78A7"/>
    <w:rsid w:val="00BD2B90"/>
    <w:rsid w:val="00C00865"/>
    <w:rsid w:val="00C34E92"/>
    <w:rsid w:val="00C5542B"/>
    <w:rsid w:val="00C61C3A"/>
    <w:rsid w:val="00C63D90"/>
    <w:rsid w:val="00C74B51"/>
    <w:rsid w:val="00C91AAA"/>
    <w:rsid w:val="00CA40FD"/>
    <w:rsid w:val="00CA619B"/>
    <w:rsid w:val="00D93A66"/>
    <w:rsid w:val="00DF4828"/>
    <w:rsid w:val="00E00EC9"/>
    <w:rsid w:val="00E24641"/>
    <w:rsid w:val="00F01AB3"/>
    <w:rsid w:val="00FB1302"/>
    <w:rsid w:val="00FB468D"/>
    <w:rsid w:val="00FD2510"/>
    <w:rsid w:val="00FE672A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B2B5"/>
  <w15:chartTrackingRefBased/>
  <w15:docId w15:val="{1E734E92-FC6A-444B-AD50-2BCFB274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66"/>
  </w:style>
  <w:style w:type="paragraph" w:styleId="Footer">
    <w:name w:val="footer"/>
    <w:basedOn w:val="Normal"/>
    <w:link w:val="Foot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66"/>
  </w:style>
  <w:style w:type="table" w:styleId="TableGrid">
    <w:name w:val="Table Grid"/>
    <w:basedOn w:val="TableNormal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1,L,CV text,Dot pt,F5 List Paragraph,No Spacing1,List Paragraph Char Char Char,Indicator Text,Numbered Para 1,Bullet 1,List Paragraph12,Bullet Points,MAIN CONTENT"/>
    <w:basedOn w:val="Normal"/>
    <w:link w:val="ListParagraphChar"/>
    <w:uiPriority w:val="34"/>
    <w:qFormat/>
    <w:rsid w:val="0077095D"/>
    <w:pPr>
      <w:ind w:left="720"/>
      <w:contextualSpacing/>
    </w:pPr>
  </w:style>
  <w:style w:type="character" w:customStyle="1" w:styleId="ListParagraphChar">
    <w:name w:val="List Paragraph Char"/>
    <w:aliases w:val="Recommendation Char,List Paragraph11 Char,L Char,CV text Char,Dot pt Char,F5 List Paragraph Char,No Spacing1 Char,List Paragraph Char Char Char Char,Indicator Text Char,Numbered Para 1 Char,Bullet 1 Char,List Paragraph12 Char"/>
    <w:basedOn w:val="DefaultParagraphFont"/>
    <w:link w:val="ListParagraph"/>
    <w:uiPriority w:val="34"/>
    <w:qFormat/>
    <w:locked/>
    <w:rsid w:val="00823B52"/>
    <w:rPr>
      <w:kern w:val="2"/>
      <w:sz w:val="2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B26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xtranet.itu.int/rsg-meetings/cpm/Share/WG%204%20(Chapter%204)/SWG-4C%20a.i.%201.17/7th%20Meeting/DL-019e%2002042023.docx?d=w3269ced9ef224a83bc21fa369ad849a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/Desktop/APT%20Coordination%20Meeting/Agenda%20it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item.dotx</Template>
  <TotalTime>135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Zhang Bo</cp:lastModifiedBy>
  <cp:revision>42</cp:revision>
  <dcterms:created xsi:type="dcterms:W3CDTF">2023-03-27T09:32:00Z</dcterms:created>
  <dcterms:modified xsi:type="dcterms:W3CDTF">2023-04-02T19:30:00Z</dcterms:modified>
</cp:coreProperties>
</file>