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7E70AE" w:rsidRPr="007E70AE" w:rsidTr="002B6F42">
        <w:trPr>
          <w:cantSplit/>
        </w:trPr>
        <w:tc>
          <w:tcPr>
            <w:tcW w:w="1399" w:type="dxa"/>
            <w:vMerge w:val="restart"/>
          </w:tcPr>
          <w:p w:rsidR="007E70AE" w:rsidRPr="007E70AE" w:rsidRDefault="007E70AE" w:rsidP="007E70AE">
            <w:pPr>
              <w:widowControl w:val="0"/>
              <w:wordWrap w:val="0"/>
              <w:jc w:val="both"/>
              <w:rPr>
                <w:kern w:val="2"/>
                <w:lang w:eastAsia="ko-KR"/>
              </w:rPr>
            </w:pPr>
            <w:r w:rsidRPr="007E70AE">
              <w:rPr>
                <w:noProof/>
                <w:kern w:val="2"/>
              </w:rPr>
              <w:drawing>
                <wp:inline distT="0" distB="0" distL="0" distR="0" wp14:anchorId="20D557F5" wp14:editId="339C0974">
                  <wp:extent cx="762635" cy="716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8780" w:type="dxa"/>
            <w:gridSpan w:val="2"/>
          </w:tcPr>
          <w:p w:rsidR="007E70AE" w:rsidRPr="007E70AE" w:rsidRDefault="007E70AE" w:rsidP="007E70AE">
            <w:pPr>
              <w:keepNext/>
              <w:widowControl w:val="0"/>
              <w:wordWrap w:val="0"/>
              <w:jc w:val="both"/>
              <w:outlineLvl w:val="7"/>
              <w:rPr>
                <w:b/>
                <w:bCs/>
                <w:kern w:val="2"/>
                <w:lang w:eastAsia="ko-KR"/>
              </w:rPr>
            </w:pPr>
            <w:r w:rsidRPr="007E70AE">
              <w:rPr>
                <w:b/>
                <w:bCs/>
                <w:kern w:val="2"/>
                <w:sz w:val="22"/>
                <w:szCs w:val="22"/>
                <w:lang w:eastAsia="ko-KR"/>
              </w:rPr>
              <w:t>ASIA-PACIFIC TELECOMMUNITY</w:t>
            </w:r>
          </w:p>
        </w:tc>
      </w:tr>
      <w:tr w:rsidR="007E70AE" w:rsidRPr="007E70AE" w:rsidTr="002B6F42">
        <w:trPr>
          <w:cantSplit/>
        </w:trPr>
        <w:tc>
          <w:tcPr>
            <w:tcW w:w="1399" w:type="dxa"/>
            <w:vMerge/>
          </w:tcPr>
          <w:p w:rsidR="007E70AE" w:rsidRPr="007E70AE" w:rsidRDefault="007E70AE" w:rsidP="007E70AE"/>
        </w:tc>
        <w:tc>
          <w:tcPr>
            <w:tcW w:w="6140" w:type="dxa"/>
          </w:tcPr>
          <w:p w:rsidR="007E70AE" w:rsidRPr="007E70AE" w:rsidRDefault="007E70AE" w:rsidP="007E70AE">
            <w:pPr>
              <w:spacing w:line="0" w:lineRule="atLeast"/>
            </w:pPr>
            <w:r w:rsidRPr="007E70AE">
              <w:rPr>
                <w:b/>
              </w:rPr>
              <w:t>2</w:t>
            </w:r>
            <w:r w:rsidRPr="007E70AE">
              <w:rPr>
                <w:b/>
                <w:vertAlign w:val="superscript"/>
              </w:rPr>
              <w:t>nd</w:t>
            </w:r>
            <w:r w:rsidRPr="007E70AE">
              <w:rPr>
                <w:b/>
              </w:rPr>
              <w:t xml:space="preserve"> Meeting of SATRC Working Group on Spectrum in SAP-IV</w:t>
            </w:r>
          </w:p>
        </w:tc>
        <w:tc>
          <w:tcPr>
            <w:tcW w:w="2640" w:type="dxa"/>
          </w:tcPr>
          <w:p w:rsidR="007E70AE" w:rsidRPr="007E70AE" w:rsidRDefault="007E70AE" w:rsidP="007E70AE">
            <w:pPr>
              <w:rPr>
                <w:b/>
                <w:bCs/>
              </w:rPr>
            </w:pPr>
            <w:r w:rsidRPr="007E70AE">
              <w:rPr>
                <w:b/>
              </w:rPr>
              <w:t>Document</w:t>
            </w:r>
          </w:p>
          <w:p w:rsidR="007E70AE" w:rsidRPr="007E70AE" w:rsidRDefault="00CB5D61" w:rsidP="007E70AE">
            <w:pPr>
              <w:rPr>
                <w:b/>
                <w:bCs/>
              </w:rPr>
            </w:pPr>
            <w:r>
              <w:rPr>
                <w:b/>
                <w:bCs/>
              </w:rPr>
              <w:t>WGSPEC-02</w:t>
            </w:r>
            <w:bookmarkStart w:id="0" w:name="_GoBack"/>
            <w:bookmarkEnd w:id="0"/>
            <w:r w:rsidR="007E70AE" w:rsidRPr="007E70AE">
              <w:rPr>
                <w:b/>
                <w:bCs/>
              </w:rPr>
              <w:t>/INP-</w:t>
            </w:r>
            <w:r w:rsidR="007E70AE">
              <w:rPr>
                <w:b/>
                <w:bCs/>
              </w:rPr>
              <w:t>08</w:t>
            </w:r>
          </w:p>
        </w:tc>
      </w:tr>
      <w:tr w:rsidR="007E70AE" w:rsidRPr="007E70AE" w:rsidTr="002B6F42">
        <w:trPr>
          <w:cantSplit/>
          <w:trHeight w:val="219"/>
        </w:trPr>
        <w:tc>
          <w:tcPr>
            <w:tcW w:w="1399" w:type="dxa"/>
            <w:vMerge/>
          </w:tcPr>
          <w:p w:rsidR="007E70AE" w:rsidRPr="007E70AE" w:rsidRDefault="007E70AE" w:rsidP="007E70AE"/>
        </w:tc>
        <w:tc>
          <w:tcPr>
            <w:tcW w:w="6140" w:type="dxa"/>
          </w:tcPr>
          <w:p w:rsidR="007E70AE" w:rsidRPr="007E70AE" w:rsidRDefault="007E70AE" w:rsidP="007E70AE">
            <w:r w:rsidRPr="007E70AE">
              <w:t>11-12 March 2014, Tehran, Iran</w:t>
            </w:r>
          </w:p>
        </w:tc>
        <w:tc>
          <w:tcPr>
            <w:tcW w:w="2640" w:type="dxa"/>
          </w:tcPr>
          <w:p w:rsidR="007E70AE" w:rsidRPr="007E70AE" w:rsidRDefault="007E70AE" w:rsidP="007E70AE">
            <w:pPr>
              <w:keepNext/>
              <w:outlineLvl w:val="0"/>
              <w:rPr>
                <w:b/>
                <w:bCs/>
                <w:u w:val="single"/>
              </w:rPr>
            </w:pPr>
            <w:r w:rsidRPr="007E70AE">
              <w:rPr>
                <w:b/>
              </w:rPr>
              <w:t>11 March 2014</w:t>
            </w:r>
          </w:p>
        </w:tc>
      </w:tr>
    </w:tbl>
    <w:p w:rsidR="00DA7595" w:rsidRDefault="00DA7595" w:rsidP="00DA7595">
      <w:pPr>
        <w:jc w:val="center"/>
        <w:rPr>
          <w:b/>
          <w:sz w:val="28"/>
          <w:szCs w:val="28"/>
          <w:lang w:eastAsia="ko-KR"/>
        </w:rPr>
      </w:pPr>
    </w:p>
    <w:p w:rsidR="00AA33D2" w:rsidRDefault="00AA33D2" w:rsidP="0063062B">
      <w:pPr>
        <w:jc w:val="center"/>
        <w:rPr>
          <w:b/>
          <w:bCs/>
          <w:caps/>
          <w:sz w:val="28"/>
          <w:szCs w:val="28"/>
        </w:rPr>
      </w:pPr>
    </w:p>
    <w:p w:rsidR="001470E2" w:rsidRDefault="001470E2" w:rsidP="001470E2">
      <w:pPr>
        <w:jc w:val="center"/>
        <w:rPr>
          <w:b/>
          <w:bCs/>
          <w:caps/>
          <w:sz w:val="28"/>
          <w:szCs w:val="28"/>
        </w:rPr>
      </w:pPr>
      <w:r>
        <w:rPr>
          <w:b/>
          <w:bCs/>
          <w:caps/>
          <w:sz w:val="28"/>
          <w:szCs w:val="28"/>
        </w:rPr>
        <w:t xml:space="preserve">VIEW of IRAN </w:t>
      </w:r>
      <w:r w:rsidR="0025097F">
        <w:rPr>
          <w:b/>
          <w:bCs/>
          <w:caps/>
          <w:sz w:val="28"/>
          <w:szCs w:val="28"/>
        </w:rPr>
        <w:t>(ISLAMIC REPUBLIC</w:t>
      </w:r>
      <w:r>
        <w:rPr>
          <w:b/>
          <w:bCs/>
          <w:caps/>
          <w:sz w:val="28"/>
          <w:szCs w:val="28"/>
        </w:rPr>
        <w:t xml:space="preserve"> OF) on the</w:t>
      </w:r>
      <w:r>
        <w:rPr>
          <w:b/>
          <w:bCs/>
          <w:caps/>
          <w:sz w:val="28"/>
          <w:szCs w:val="28"/>
        </w:rPr>
        <w:br/>
        <w:t xml:space="preserve"> joint announcement made by satrc members for the adoption of 700 mhz band plan</w:t>
      </w:r>
    </w:p>
    <w:p w:rsidR="00FD592E" w:rsidRPr="00FD592E" w:rsidRDefault="00FD592E" w:rsidP="00FD592E"/>
    <w:p w:rsidR="00D72F8C" w:rsidRPr="00D72F8C" w:rsidRDefault="00D72F8C" w:rsidP="00D72F8C">
      <w:pPr>
        <w:spacing w:after="200"/>
        <w:ind w:left="720" w:hanging="360"/>
        <w:rPr>
          <w:rFonts w:asciiTheme="majorBidi" w:eastAsia="Times New Roman" w:hAnsiTheme="majorBidi" w:cstheme="majorBidi"/>
          <w:lang w:bidi="fa-IR"/>
        </w:rPr>
      </w:pPr>
    </w:p>
    <w:p w:rsidR="00D72F8C" w:rsidRPr="00457D1F" w:rsidRDefault="00D72F8C" w:rsidP="007E70AE">
      <w:pPr>
        <w:pStyle w:val="ListParagraph"/>
        <w:numPr>
          <w:ilvl w:val="0"/>
          <w:numId w:val="10"/>
        </w:numPr>
        <w:spacing w:before="100" w:after="100"/>
        <w:ind w:left="360" w:right="720"/>
        <w:rPr>
          <w:rFonts w:asciiTheme="majorBidi" w:hAnsiTheme="majorBidi" w:cstheme="majorBidi"/>
          <w:rtl/>
        </w:rPr>
      </w:pPr>
      <w:r w:rsidRPr="00457D1F">
        <w:rPr>
          <w:rFonts w:asciiTheme="majorBidi" w:hAnsiTheme="majorBidi" w:cstheme="majorBidi"/>
        </w:rPr>
        <w:t>Background</w:t>
      </w:r>
    </w:p>
    <w:p w:rsidR="001470E2" w:rsidRPr="001470E2" w:rsidRDefault="001470E2" w:rsidP="007E70AE">
      <w:pPr>
        <w:autoSpaceDE w:val="0"/>
        <w:autoSpaceDN w:val="0"/>
        <w:adjustRightInd w:val="0"/>
        <w:spacing w:after="120"/>
        <w:ind w:left="360"/>
        <w:jc w:val="both"/>
        <w:rPr>
          <w:rFonts w:eastAsia="Batang"/>
          <w:bCs/>
        </w:rPr>
      </w:pPr>
      <w:r w:rsidRPr="001470E2">
        <w:rPr>
          <w:rFonts w:eastAsia="Batang"/>
          <w:bCs/>
        </w:rPr>
        <w:t xml:space="preserve">International Mobile Telecommunications (IMT) was introduced by </w:t>
      </w:r>
      <w:r w:rsidRPr="001470E2">
        <w:rPr>
          <w:bCs/>
        </w:rPr>
        <w:t xml:space="preserve">WRC-2000, </w:t>
      </w:r>
      <w:r w:rsidRPr="001470E2">
        <w:rPr>
          <w:rFonts w:eastAsia="Batang"/>
          <w:bCs/>
        </w:rPr>
        <w:t xml:space="preserve">through identification of IMT in new S5.317A and modified S5.316 footnotes to Article 5 in the Radio Regulations. The relevant Resolution 224 (WRC-2000), at that time, nominated the frequency band 806-960 MHz for </w:t>
      </w:r>
      <w:r w:rsidRPr="001470E2">
        <w:rPr>
          <w:rFonts w:eastAsia="Batang"/>
        </w:rPr>
        <w:t xml:space="preserve">evolution of first- and second generation mobile systems to IMT-2000.  Then, </w:t>
      </w:r>
      <w:r w:rsidRPr="001470E2">
        <w:rPr>
          <w:bCs/>
        </w:rPr>
        <w:t>in WRC-2012</w:t>
      </w:r>
      <w:r w:rsidRPr="001470E2">
        <w:rPr>
          <w:b/>
        </w:rPr>
        <w:t xml:space="preserve">, No. </w:t>
      </w:r>
      <w:r w:rsidRPr="001470E2">
        <w:rPr>
          <w:rFonts w:eastAsia="Batang"/>
          <w:bCs/>
        </w:rPr>
        <w:t>5.317A and corresponding Resolution 224 were modified in which the identified frequency range for IMT-2000 was extended</w:t>
      </w:r>
      <w:r>
        <w:t xml:space="preserve"> to</w:t>
      </w:r>
      <w:r w:rsidRPr="00D41CE2">
        <w:t xml:space="preserve"> the </w:t>
      </w:r>
      <w:r>
        <w:t xml:space="preserve">frequency </w:t>
      </w:r>
      <w:r w:rsidRPr="00D41CE2">
        <w:t>band 698-960</w:t>
      </w:r>
      <w:r>
        <w:t> MHz</w:t>
      </w:r>
      <w:r w:rsidRPr="00D41CE2">
        <w:t xml:space="preserve"> in Region</w:t>
      </w:r>
      <w:r>
        <w:t> </w:t>
      </w:r>
      <w:r w:rsidRPr="00D41CE2">
        <w:t>2 and the band 790-960</w:t>
      </w:r>
      <w:r>
        <w:t> MHz</w:t>
      </w:r>
      <w:r w:rsidRPr="00D41CE2">
        <w:t xml:space="preserve"> in Regions 1 and 3</w:t>
      </w:r>
      <w:r>
        <w:t>.</w:t>
      </w:r>
      <w:r w:rsidRPr="001470E2">
        <w:rPr>
          <w:rFonts w:eastAsia="Batang"/>
          <w:bCs/>
        </w:rPr>
        <w:t xml:space="preserve"> </w:t>
      </w:r>
      <w:r w:rsidRPr="001470E2">
        <w:rPr>
          <w:rFonts w:asciiTheme="majorBidi" w:hAnsiTheme="majorBidi" w:cstheme="majorBidi"/>
          <w:bCs/>
        </w:rPr>
        <w:t>The applicable frequency arrangement schemes are addressed in ITU Recommendation M.1036-4(WRC-2012)</w:t>
      </w:r>
      <w:r w:rsidRPr="001470E2">
        <w:rPr>
          <w:rFonts w:eastAsia="Batang"/>
          <w:bCs/>
        </w:rPr>
        <w:t>.</w:t>
      </w:r>
    </w:p>
    <w:p w:rsidR="001470E2" w:rsidRDefault="001470E2" w:rsidP="007E70AE">
      <w:pPr>
        <w:spacing w:after="120"/>
        <w:ind w:left="360"/>
        <w:jc w:val="both"/>
      </w:pPr>
      <w:r>
        <w:t xml:space="preserve">For the Region 1 (except Mongolia) countries and I.R. of IRAN, </w:t>
      </w:r>
      <w:r w:rsidRPr="0092519F">
        <w:t>base</w:t>
      </w:r>
      <w:r>
        <w:t>d</w:t>
      </w:r>
      <w:r w:rsidRPr="000C7532">
        <w:t xml:space="preserve"> on </w:t>
      </w:r>
      <w:r>
        <w:t xml:space="preserve">GE06 </w:t>
      </w:r>
      <w:r w:rsidRPr="000C7532">
        <w:t>Agreement</w:t>
      </w:r>
      <w:r>
        <w:t xml:space="preserve">, </w:t>
      </w:r>
      <w:r w:rsidRPr="000C7532">
        <w:t xml:space="preserve">which governs the use of frequencies by the </w:t>
      </w:r>
      <w:r>
        <w:t xml:space="preserve">analog and digital TV and sound </w:t>
      </w:r>
      <w:r w:rsidRPr="000C7532">
        <w:t>broadcasting service and other primary terrestrial services in the frequency bands 174-230 MHz and 470-862 MHz</w:t>
      </w:r>
      <w:r>
        <w:t xml:space="preserve">, members are pledged to switch from </w:t>
      </w:r>
      <w:r w:rsidRPr="006D62FC">
        <w:t>analogue</w:t>
      </w:r>
      <w:r>
        <w:t xml:space="preserve"> to Digital</w:t>
      </w:r>
      <w:r w:rsidRPr="008C3374">
        <w:t xml:space="preserve"> </w:t>
      </w:r>
      <w:r>
        <w:t>until</w:t>
      </w:r>
      <w:r w:rsidRPr="008C3374">
        <w:t xml:space="preserve"> 17 June 2015 at 00</w:t>
      </w:r>
      <w:r>
        <w:t>:</w:t>
      </w:r>
      <w:r w:rsidRPr="008C3374">
        <w:t>01 hours</w:t>
      </w:r>
      <w:r>
        <w:t xml:space="preserve"> UTC</w:t>
      </w:r>
      <w:r w:rsidRPr="000C7532">
        <w:t xml:space="preserve">. The </w:t>
      </w:r>
      <w:r>
        <w:t xml:space="preserve">agreement </w:t>
      </w:r>
      <w:r w:rsidRPr="000C7532">
        <w:t>also contain</w:t>
      </w:r>
      <w:r>
        <w:t>s</w:t>
      </w:r>
      <w:r w:rsidRPr="000C7532">
        <w:t xml:space="preserve"> frequency assignment and frequency allotment plans for the digital broadcasting service (television and sound), the analogue television plan applicable in the transition period.</w:t>
      </w:r>
    </w:p>
    <w:p w:rsidR="001470E2" w:rsidRDefault="001470E2" w:rsidP="007E70AE">
      <w:pPr>
        <w:spacing w:after="120"/>
        <w:ind w:left="360"/>
        <w:jc w:val="both"/>
      </w:pPr>
      <w:r>
        <w:t xml:space="preserve">Due to higher spectrum efficiency of digital broadcasting, by the complete switch off of analog broadcasting, a big part of frequency range 470-862 MHz would be released from broadcasting service. The first digital dividend denoted to release of frequency band 790-862 MHz </w:t>
      </w:r>
      <w:r w:rsidR="00CA318D">
        <w:t>during</w:t>
      </w:r>
      <w:r>
        <w:t xml:space="preserve"> WRC-12, the second frequency dividend imposed to frequency range</w:t>
      </w:r>
      <w:r>
        <w:rPr>
          <w:rFonts w:hint="cs"/>
          <w:rtl/>
        </w:rPr>
        <w:t xml:space="preserve"> </w:t>
      </w:r>
      <w:r>
        <w:t>470-862 MHz in the frequency band 694/698-790 MHz which is still under process by ITU.</w:t>
      </w:r>
      <w:r w:rsidRPr="00E06CC8">
        <w:t xml:space="preserve"> </w:t>
      </w:r>
    </w:p>
    <w:p w:rsidR="001470E2" w:rsidRDefault="001470E2" w:rsidP="007E70AE">
      <w:pPr>
        <w:spacing w:after="120"/>
        <w:ind w:left="360"/>
        <w:jc w:val="both"/>
      </w:pPr>
      <w:r>
        <w:t>It worth to note that, since the term “Digital Dividend” is a commercial term and level of gained advantage is a national issue, there was a long discussion in January 2014 meeting of ITU-R Working Party 1B (ITU-R WP1B) on new replacement to this term to reflect the “spectrum efficiency in VHF and UHF bands.”</w:t>
      </w:r>
    </w:p>
    <w:p w:rsidR="001470E2" w:rsidRDefault="001470E2" w:rsidP="007E70AE">
      <w:pPr>
        <w:ind w:left="360"/>
      </w:pPr>
      <w:r>
        <w:t xml:space="preserve">This document would be considered </w:t>
      </w:r>
      <w:r w:rsidRPr="00C20685">
        <w:t>State of switch over to Digital broadcasting in Iran and why Iran can</w:t>
      </w:r>
      <w:r>
        <w:t>not</w:t>
      </w:r>
      <w:r w:rsidRPr="00C20685">
        <w:t xml:space="preserve"> follow APT plan</w:t>
      </w:r>
      <w:r>
        <w:t>, also the</w:t>
      </w:r>
      <w:r w:rsidRPr="00C20685">
        <w:t xml:space="preserve"> use of the term's </w:t>
      </w:r>
      <w:r>
        <w:t>“</w:t>
      </w:r>
      <w:r w:rsidRPr="00C20685">
        <w:t>announcemen</w:t>
      </w:r>
      <w:r>
        <w:t xml:space="preserve">t” in APT. </w:t>
      </w:r>
    </w:p>
    <w:p w:rsidR="006F2331" w:rsidRPr="006F2331" w:rsidRDefault="006F2331" w:rsidP="007E70AE">
      <w:pPr>
        <w:ind w:left="360"/>
        <w:rPr>
          <w:bCs/>
        </w:rPr>
      </w:pPr>
    </w:p>
    <w:p w:rsidR="001470E2" w:rsidRPr="00457D1F" w:rsidRDefault="001470E2" w:rsidP="007E70AE">
      <w:pPr>
        <w:pStyle w:val="ListParagraph"/>
        <w:numPr>
          <w:ilvl w:val="0"/>
          <w:numId w:val="10"/>
        </w:numPr>
        <w:ind w:left="360"/>
        <w:rPr>
          <w:bCs/>
        </w:rPr>
      </w:pPr>
      <w:r w:rsidRPr="00457D1F">
        <w:rPr>
          <w:bCs/>
        </w:rPr>
        <w:t>State of switch over to Digital broadcasting</w:t>
      </w:r>
    </w:p>
    <w:p w:rsidR="001470E2" w:rsidRDefault="001470E2" w:rsidP="007E70AE">
      <w:pPr>
        <w:spacing w:after="120"/>
        <w:ind w:left="360"/>
        <w:jc w:val="both"/>
        <w:rPr>
          <w:rtl/>
        </w:rPr>
      </w:pPr>
      <w:r>
        <w:t xml:space="preserve">Transition from analogue broadcasting to digital broadcasting is performing smoothly in I.R. of IRAN. It started from big cities as well as cities near to border in south and coast of Persian Gulf. Currently both analog broadcasting and digital broadcasting are on the air in many cities. Although, above activity is running without stop, however it is difficult to announce a specific termination date. However, there is expectation for release of frequency band 790-862 </w:t>
      </w:r>
      <w:proofErr w:type="spellStart"/>
      <w:r w:rsidR="0025097F">
        <w:t>MHz.</w:t>
      </w:r>
      <w:proofErr w:type="spellEnd"/>
      <w:r>
        <w:t xml:space="preserve"> As a regulatory force, this administration outlined two footnotes in </w:t>
      </w:r>
      <w:r>
        <w:lastRenderedPageBreak/>
        <w:t>national frequency allocations table to force switch off any broadcasting station before 17 June 2015 (including analog and digital) in the frequency band 790-862 MHz (</w:t>
      </w:r>
      <w:r w:rsidRPr="000C7532">
        <w:rPr>
          <w:b/>
          <w:bCs/>
        </w:rPr>
        <w:t>IRN5</w:t>
      </w:r>
      <w:r>
        <w:t xml:space="preserve">) and to do same in 694-862 MHz two years </w:t>
      </w:r>
      <w:proofErr w:type="spellStart"/>
      <w:r>
        <w:t>latter</w:t>
      </w:r>
      <w:proofErr w:type="spellEnd"/>
      <w:r>
        <w:t xml:space="preserve"> (</w:t>
      </w:r>
      <w:r w:rsidRPr="000C7532">
        <w:rPr>
          <w:b/>
          <w:bCs/>
        </w:rPr>
        <w:t>IRN4</w:t>
      </w:r>
      <w:r>
        <w:t>).</w:t>
      </w:r>
    </w:p>
    <w:p w:rsidR="001470E2" w:rsidRPr="00457D1F" w:rsidRDefault="001470E2" w:rsidP="007E70AE">
      <w:pPr>
        <w:pStyle w:val="ListParagraph"/>
        <w:numPr>
          <w:ilvl w:val="0"/>
          <w:numId w:val="10"/>
        </w:numPr>
        <w:ind w:left="360"/>
        <w:jc w:val="both"/>
        <w:rPr>
          <w:bCs/>
          <w:rtl/>
        </w:rPr>
      </w:pPr>
      <w:r w:rsidRPr="00457D1F">
        <w:rPr>
          <w:bCs/>
        </w:rPr>
        <w:t>View o</w:t>
      </w:r>
      <w:r w:rsidRPr="00457D1F">
        <w:rPr>
          <w:bCs/>
          <w:lang w:val="en-AU"/>
        </w:rPr>
        <w:t>n</w:t>
      </w:r>
      <w:r w:rsidRPr="00457D1F">
        <w:rPr>
          <w:bCs/>
        </w:rPr>
        <w:t xml:space="preserve"> joint announcement</w:t>
      </w:r>
    </w:p>
    <w:p w:rsidR="001470E2" w:rsidRDefault="001470E2" w:rsidP="007E70AE">
      <w:pPr>
        <w:ind w:left="360"/>
        <w:jc w:val="both"/>
      </w:pPr>
      <w:r>
        <w:t xml:space="preserve">AWG has introduced </w:t>
      </w:r>
      <w:r w:rsidRPr="008E2093">
        <w:t xml:space="preserve">“APT 700 Plan” </w:t>
      </w:r>
      <w:r>
        <w:t>which use</w:t>
      </w:r>
      <w:r w:rsidR="00A11305">
        <w:t>s</w:t>
      </w:r>
      <w:r>
        <w:t xml:space="preserve"> frequency range 694-862 MHz for IMT. </w:t>
      </w:r>
      <w:r w:rsidRPr="008E2093">
        <w:t>“APT 700 Plan” would be implemented</w:t>
      </w:r>
      <w:r>
        <w:t>,</w:t>
      </w:r>
      <w:r w:rsidRPr="008E2093">
        <w:t xml:space="preserve"> </w:t>
      </w:r>
      <w:r>
        <w:t>i</w:t>
      </w:r>
      <w:r w:rsidRPr="008E2093">
        <w:t>f both of the frequency bands 694-790 MHz and 790-862 MHz simultaneously released from broadcasting service.</w:t>
      </w:r>
      <w:r>
        <w:t xml:space="preserve"> </w:t>
      </w:r>
      <w:r w:rsidRPr="00F82EF5">
        <w:t xml:space="preserve">It is noteworthy </w:t>
      </w:r>
      <w:r>
        <w:t xml:space="preserve">that many countries could not release </w:t>
      </w:r>
      <w:r w:rsidRPr="008E2093">
        <w:t>both of the frequency bands 694-790 MHz and 790-862 MHz simultaneously</w:t>
      </w:r>
      <w:r>
        <w:t xml:space="preserve"> </w:t>
      </w:r>
      <w:r w:rsidRPr="008E2093">
        <w:t>from broadcasting service</w:t>
      </w:r>
      <w:r>
        <w:t xml:space="preserve">. </w:t>
      </w:r>
      <w:r w:rsidR="0025097F">
        <w:t>As</w:t>
      </w:r>
      <w:r>
        <w:t xml:space="preserve"> a result they could not follow </w:t>
      </w:r>
      <w:r w:rsidRPr="008E2093">
        <w:t>“APT 700 Plan</w:t>
      </w:r>
      <w:r>
        <w:t>.</w:t>
      </w:r>
    </w:p>
    <w:p w:rsidR="001470E2" w:rsidRDefault="001470E2" w:rsidP="007E70AE">
      <w:pPr>
        <w:ind w:left="360"/>
        <w:jc w:val="both"/>
      </w:pPr>
    </w:p>
    <w:p w:rsidR="001470E2" w:rsidRDefault="001470E2" w:rsidP="007E70AE">
      <w:pPr>
        <w:ind w:left="360"/>
        <w:jc w:val="both"/>
      </w:pPr>
      <w:r>
        <w:t xml:space="preserve">Meanwhile </w:t>
      </w:r>
      <w:r w:rsidRPr="00EA28D3">
        <w:rPr>
          <w:color w:val="000000"/>
        </w:rPr>
        <w:t>at</w:t>
      </w:r>
      <w:r w:rsidRPr="00F36D3F">
        <w:rPr>
          <w:color w:val="000000"/>
        </w:rPr>
        <w:t xml:space="preserve"> the 14</w:t>
      </w:r>
      <w:r w:rsidRPr="00F36D3F">
        <w:rPr>
          <w:color w:val="000000"/>
          <w:vertAlign w:val="superscript"/>
        </w:rPr>
        <w:t>th</w:t>
      </w:r>
      <w:r w:rsidRPr="00F36D3F">
        <w:rPr>
          <w:color w:val="000000"/>
        </w:rPr>
        <w:t xml:space="preserve"> South Asian Telecommunication Regulators’ Council Meeting </w:t>
      </w:r>
      <w:r>
        <w:t xml:space="preserve">has used the format of “joint </w:t>
      </w:r>
      <w:proofErr w:type="spellStart"/>
      <w:r>
        <w:t>announcement.”After</w:t>
      </w:r>
      <w:proofErr w:type="spellEnd"/>
      <w:r>
        <w:t xml:space="preserve"> carefully examination of APT constitution, it appears to us that there is no mention of the term “joint announcement”. We therefore need to seek clarification from APT what is the state of joint “announcement.”</w:t>
      </w:r>
      <w:r>
        <w:tab/>
      </w:r>
    </w:p>
    <w:p w:rsidR="001470E2" w:rsidRDefault="001470E2" w:rsidP="001470E2">
      <w:pPr>
        <w:jc w:val="both"/>
      </w:pPr>
    </w:p>
    <w:p w:rsidR="003578AB" w:rsidRDefault="003578AB" w:rsidP="001470E2">
      <w:pPr>
        <w:spacing w:before="100" w:after="100"/>
        <w:ind w:left="720" w:right="720"/>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Pr="00FD592E" w:rsidRDefault="003578AB" w:rsidP="00FD592E">
      <w:pPr>
        <w:tabs>
          <w:tab w:val="left" w:pos="1830"/>
        </w:tabs>
      </w:pPr>
    </w:p>
    <w:sectPr w:rsidR="003578AB" w:rsidRPr="00FD592E" w:rsidSect="007E70AE">
      <w:headerReference w:type="default" r:id="rId9"/>
      <w:footerReference w:type="even" r:id="rId10"/>
      <w:footerReference w:type="default" r:id="rId11"/>
      <w:footerReference w:type="first" r:id="rId12"/>
      <w:pgSz w:w="11909" w:h="16834" w:code="9"/>
      <w:pgMar w:top="1195" w:right="1152" w:bottom="1138"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904" w:rsidRDefault="007D6904">
      <w:r>
        <w:separator/>
      </w:r>
    </w:p>
  </w:endnote>
  <w:endnote w:type="continuationSeparator" w:id="0">
    <w:p w:rsidR="007D6904" w:rsidRDefault="007D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8D" w:rsidRDefault="000B6269" w:rsidP="002C07DA">
    <w:pPr>
      <w:pStyle w:val="Footer"/>
      <w:framePr w:wrap="around" w:vAnchor="text" w:hAnchor="margin" w:xAlign="right" w:y="1"/>
      <w:rPr>
        <w:rStyle w:val="PageNumber"/>
      </w:rPr>
    </w:pPr>
    <w:r>
      <w:rPr>
        <w:rStyle w:val="PageNumber"/>
      </w:rPr>
      <w:fldChar w:fldCharType="begin"/>
    </w:r>
    <w:r w:rsidR="00CA318D">
      <w:rPr>
        <w:rStyle w:val="PageNumber"/>
      </w:rPr>
      <w:instrText xml:space="preserve">PAGE  </w:instrText>
    </w:r>
    <w:r>
      <w:rPr>
        <w:rStyle w:val="PageNumber"/>
      </w:rPr>
      <w:fldChar w:fldCharType="end"/>
    </w:r>
  </w:p>
  <w:p w:rsidR="00CA318D" w:rsidRDefault="00CA318D"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8D" w:rsidRDefault="00CA318D" w:rsidP="002C7EA9">
    <w:pPr>
      <w:pStyle w:val="Footer"/>
      <w:ind w:right="360"/>
      <w:jc w:val="right"/>
      <w:rPr>
        <w:rStyle w:val="PageNumber"/>
      </w:rPr>
    </w:pPr>
    <w:r w:rsidRPr="002C7EA9">
      <w:rPr>
        <w:rStyle w:val="PageNumber"/>
      </w:rPr>
      <w:t xml:space="preserve">Page </w:t>
    </w:r>
    <w:r w:rsidR="000B6269" w:rsidRPr="002C7EA9">
      <w:rPr>
        <w:rStyle w:val="PageNumber"/>
      </w:rPr>
      <w:fldChar w:fldCharType="begin"/>
    </w:r>
    <w:r w:rsidRPr="002C7EA9">
      <w:rPr>
        <w:rStyle w:val="PageNumber"/>
      </w:rPr>
      <w:instrText xml:space="preserve"> PAGE </w:instrText>
    </w:r>
    <w:r w:rsidR="000B6269" w:rsidRPr="002C7EA9">
      <w:rPr>
        <w:rStyle w:val="PageNumber"/>
      </w:rPr>
      <w:fldChar w:fldCharType="separate"/>
    </w:r>
    <w:r w:rsidR="00CB5D61">
      <w:rPr>
        <w:rStyle w:val="PageNumber"/>
        <w:noProof/>
      </w:rPr>
      <w:t>2</w:t>
    </w:r>
    <w:r w:rsidR="000B6269" w:rsidRPr="002C7EA9">
      <w:rPr>
        <w:rStyle w:val="PageNumber"/>
      </w:rPr>
      <w:fldChar w:fldCharType="end"/>
    </w:r>
    <w:r w:rsidRPr="002C7EA9">
      <w:rPr>
        <w:rStyle w:val="PageNumber"/>
      </w:rPr>
      <w:t xml:space="preserve"> of </w:t>
    </w:r>
    <w:r w:rsidR="000B6269" w:rsidRPr="002C7EA9">
      <w:rPr>
        <w:rStyle w:val="PageNumber"/>
      </w:rPr>
      <w:fldChar w:fldCharType="begin"/>
    </w:r>
    <w:r w:rsidRPr="002C7EA9">
      <w:rPr>
        <w:rStyle w:val="PageNumber"/>
      </w:rPr>
      <w:instrText xml:space="preserve"> NUMPAGES </w:instrText>
    </w:r>
    <w:r w:rsidR="000B6269" w:rsidRPr="002C7EA9">
      <w:rPr>
        <w:rStyle w:val="PageNumber"/>
      </w:rPr>
      <w:fldChar w:fldCharType="separate"/>
    </w:r>
    <w:r w:rsidR="00CB5D61">
      <w:rPr>
        <w:rStyle w:val="PageNumber"/>
        <w:noProof/>
      </w:rPr>
      <w:t>2</w:t>
    </w:r>
    <w:r w:rsidR="000B626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5" w:type="dxa"/>
      <w:jc w:val="center"/>
      <w:tblLayout w:type="fixed"/>
      <w:tblCellMar>
        <w:left w:w="57" w:type="dxa"/>
        <w:right w:w="57" w:type="dxa"/>
      </w:tblCellMar>
      <w:tblLook w:val="0000" w:firstRow="0" w:lastRow="0" w:firstColumn="0" w:lastColumn="0" w:noHBand="0" w:noVBand="0"/>
    </w:tblPr>
    <w:tblGrid>
      <w:gridCol w:w="1617"/>
      <w:gridCol w:w="4626"/>
      <w:gridCol w:w="3912"/>
    </w:tblGrid>
    <w:tr w:rsidR="00CA318D" w:rsidTr="004D00D4">
      <w:trPr>
        <w:cantSplit/>
        <w:trHeight w:val="204"/>
        <w:jc w:val="center"/>
      </w:trPr>
      <w:tc>
        <w:tcPr>
          <w:tcW w:w="1617" w:type="dxa"/>
          <w:tcBorders>
            <w:top w:val="single" w:sz="12" w:space="0" w:color="auto"/>
          </w:tcBorders>
        </w:tcPr>
        <w:p w:rsidR="00CA318D" w:rsidRDefault="00CA318D" w:rsidP="00762576">
          <w:pPr>
            <w:rPr>
              <w:b/>
              <w:bCs/>
            </w:rPr>
          </w:pPr>
          <w:r>
            <w:rPr>
              <w:b/>
              <w:bCs/>
            </w:rPr>
            <w:t>Contact:</w:t>
          </w:r>
        </w:p>
      </w:tc>
      <w:tc>
        <w:tcPr>
          <w:tcW w:w="4626" w:type="dxa"/>
          <w:tcBorders>
            <w:top w:val="single" w:sz="12" w:space="0" w:color="auto"/>
          </w:tcBorders>
        </w:tcPr>
        <w:p w:rsidR="00CA318D" w:rsidRDefault="00CA318D" w:rsidP="00762576">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 xml:space="preserve">Zahra </w:t>
          </w:r>
          <w:proofErr w:type="spellStart"/>
          <w:r>
            <w:rPr>
              <w:rFonts w:eastAsia="Batang"/>
              <w:sz w:val="22"/>
              <w:lang w:eastAsia="ko-KR"/>
            </w:rPr>
            <w:t>mortazavi</w:t>
          </w:r>
          <w:proofErr w:type="spellEnd"/>
          <w:r>
            <w:rPr>
              <w:rFonts w:eastAsia="Batang"/>
              <w:sz w:val="22"/>
              <w:lang w:eastAsia="ko-KR"/>
            </w:rPr>
            <w:t xml:space="preserve"> </w:t>
          </w:r>
        </w:p>
        <w:p w:rsidR="00CA318D" w:rsidRDefault="00CA318D" w:rsidP="004D00D4">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Communication Regulatory Authority(</w:t>
          </w:r>
          <w:r w:rsidR="004D00D4">
            <w:rPr>
              <w:rFonts w:eastAsia="Batang"/>
              <w:sz w:val="22"/>
              <w:lang w:eastAsia="ko-KR"/>
            </w:rPr>
            <w:t>CRA</w:t>
          </w:r>
          <w:r>
            <w:rPr>
              <w:rFonts w:eastAsia="Batang"/>
              <w:sz w:val="22"/>
              <w:lang w:eastAsia="ko-KR"/>
            </w:rPr>
            <w:t>)</w:t>
          </w:r>
          <w:r>
            <w:rPr>
              <w:rFonts w:eastAsia="Batang" w:hint="eastAsia"/>
              <w:sz w:val="22"/>
              <w:lang w:eastAsia="ko-KR"/>
            </w:rPr>
            <w:t xml:space="preserve">, </w:t>
          </w:r>
          <w:r>
            <w:rPr>
              <w:rFonts w:eastAsia="Batang"/>
              <w:sz w:val="22"/>
              <w:lang w:eastAsia="ko-KR"/>
            </w:rPr>
            <w:t>Iran</w:t>
          </w:r>
        </w:p>
        <w:p w:rsidR="00CA318D" w:rsidRDefault="00CA318D" w:rsidP="00762576">
          <w:pPr>
            <w:rPr>
              <w:rFonts w:eastAsia="Batang"/>
            </w:rPr>
          </w:pPr>
        </w:p>
      </w:tc>
      <w:tc>
        <w:tcPr>
          <w:tcW w:w="3912" w:type="dxa"/>
          <w:tcBorders>
            <w:top w:val="single" w:sz="12" w:space="0" w:color="auto"/>
          </w:tcBorders>
        </w:tcPr>
        <w:p w:rsidR="00CA318D" w:rsidRDefault="00CA318D" w:rsidP="004D00D4">
          <w:pPr>
            <w:ind w:firstLine="1229"/>
            <w:rPr>
              <w:lang w:eastAsia="ja-JP"/>
            </w:rPr>
          </w:pPr>
          <w:r>
            <w:t>Email</w:t>
          </w:r>
          <w:r>
            <w:rPr>
              <w:rFonts w:hint="eastAsia"/>
            </w:rPr>
            <w:t xml:space="preserve">: </w:t>
          </w:r>
          <w:r>
            <w:t>mortazavi@cra.ir</w:t>
          </w:r>
        </w:p>
      </w:tc>
    </w:tr>
  </w:tbl>
  <w:p w:rsidR="00CA318D" w:rsidRDefault="00CA318D" w:rsidP="004D00D4">
    <w:pPr>
      <w:pStyle w:val="Footer"/>
      <w:tabs>
        <w:tab w:val="clear" w:pos="8640"/>
        <w:tab w:val="right" w:pos="8910"/>
      </w:tabs>
      <w:ind w:right="47"/>
      <w:jc w:val="right"/>
      <w:rPr>
        <w:rStyle w:val="PageNumber"/>
      </w:rPr>
    </w:pPr>
    <w:r w:rsidRPr="002C7EA9">
      <w:rPr>
        <w:rStyle w:val="PageNumber"/>
      </w:rPr>
      <w:t xml:space="preserve">Page </w:t>
    </w:r>
    <w:r w:rsidR="000B6269" w:rsidRPr="002C7EA9">
      <w:rPr>
        <w:rStyle w:val="PageNumber"/>
      </w:rPr>
      <w:fldChar w:fldCharType="begin"/>
    </w:r>
    <w:r w:rsidRPr="002C7EA9">
      <w:rPr>
        <w:rStyle w:val="PageNumber"/>
      </w:rPr>
      <w:instrText xml:space="preserve"> PAGE </w:instrText>
    </w:r>
    <w:r w:rsidR="000B6269" w:rsidRPr="002C7EA9">
      <w:rPr>
        <w:rStyle w:val="PageNumber"/>
      </w:rPr>
      <w:fldChar w:fldCharType="separate"/>
    </w:r>
    <w:r w:rsidR="00CB5D61">
      <w:rPr>
        <w:rStyle w:val="PageNumber"/>
        <w:noProof/>
      </w:rPr>
      <w:t>1</w:t>
    </w:r>
    <w:r w:rsidR="000B6269" w:rsidRPr="002C7EA9">
      <w:rPr>
        <w:rStyle w:val="PageNumber"/>
      </w:rPr>
      <w:fldChar w:fldCharType="end"/>
    </w:r>
    <w:r w:rsidRPr="002C7EA9">
      <w:rPr>
        <w:rStyle w:val="PageNumber"/>
      </w:rPr>
      <w:t xml:space="preserve"> of </w:t>
    </w:r>
    <w:r w:rsidR="000B6269" w:rsidRPr="002C7EA9">
      <w:rPr>
        <w:rStyle w:val="PageNumber"/>
      </w:rPr>
      <w:fldChar w:fldCharType="begin"/>
    </w:r>
    <w:r w:rsidRPr="002C7EA9">
      <w:rPr>
        <w:rStyle w:val="PageNumber"/>
      </w:rPr>
      <w:instrText xml:space="preserve"> NUMPAGES </w:instrText>
    </w:r>
    <w:r w:rsidR="000B6269" w:rsidRPr="002C7EA9">
      <w:rPr>
        <w:rStyle w:val="PageNumber"/>
      </w:rPr>
      <w:fldChar w:fldCharType="separate"/>
    </w:r>
    <w:r w:rsidR="00CB5D61">
      <w:rPr>
        <w:rStyle w:val="PageNumber"/>
        <w:noProof/>
      </w:rPr>
      <w:t>2</w:t>
    </w:r>
    <w:r w:rsidR="000B6269" w:rsidRPr="002C7EA9">
      <w:rPr>
        <w:rStyle w:val="PageNumber"/>
      </w:rPr>
      <w:fldChar w:fldCharType="end"/>
    </w:r>
  </w:p>
  <w:p w:rsidR="00CA318D" w:rsidRDefault="00CA318D" w:rsidP="0025097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904" w:rsidRDefault="007D6904">
      <w:r>
        <w:separator/>
      </w:r>
    </w:p>
  </w:footnote>
  <w:footnote w:type="continuationSeparator" w:id="0">
    <w:p w:rsidR="007D6904" w:rsidRDefault="007D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8D" w:rsidRDefault="00CA318D" w:rsidP="00C15633">
    <w:pPr>
      <w:pStyle w:val="Header"/>
      <w:tabs>
        <w:tab w:val="center" w:pos="4763"/>
        <w:tab w:val="left" w:pos="5820"/>
      </w:tabs>
      <w:rPr>
        <w:lang w:eastAsia="ko-KR"/>
      </w:rPr>
    </w:pPr>
    <w:r>
      <w:rPr>
        <w:lang w:eastAsia="ko-KR"/>
      </w:rPr>
      <w:tab/>
    </w:r>
  </w:p>
  <w:p w:rsidR="00CA318D" w:rsidRDefault="00CA318D"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A51"/>
    <w:multiLevelType w:val="hybridMultilevel"/>
    <w:tmpl w:val="29F04412"/>
    <w:lvl w:ilvl="0" w:tplc="D05CE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5F980223"/>
    <w:multiLevelType w:val="hybridMultilevel"/>
    <w:tmpl w:val="47D06AEE"/>
    <w:lvl w:ilvl="0" w:tplc="CC44F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6"/>
  </w:num>
  <w:num w:numId="2">
    <w:abstractNumId w:val="4"/>
  </w:num>
  <w:num w:numId="3">
    <w:abstractNumId w:val="3"/>
  </w:num>
  <w:num w:numId="4">
    <w:abstractNumId w:val="9"/>
  </w:num>
  <w:num w:numId="5">
    <w:abstractNumId w:val="5"/>
  </w:num>
  <w:num w:numId="6">
    <w:abstractNumId w:val="7"/>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1F"/>
    <w:rsid w:val="000011E8"/>
    <w:rsid w:val="0003595B"/>
    <w:rsid w:val="000A4256"/>
    <w:rsid w:val="000B6269"/>
    <w:rsid w:val="000F5540"/>
    <w:rsid w:val="001470E2"/>
    <w:rsid w:val="0019344E"/>
    <w:rsid w:val="00196568"/>
    <w:rsid w:val="001B18C2"/>
    <w:rsid w:val="001D5D7E"/>
    <w:rsid w:val="0024345F"/>
    <w:rsid w:val="0025097F"/>
    <w:rsid w:val="00254A1B"/>
    <w:rsid w:val="00262EAB"/>
    <w:rsid w:val="0028454D"/>
    <w:rsid w:val="002926D4"/>
    <w:rsid w:val="002A51B0"/>
    <w:rsid w:val="002C07DA"/>
    <w:rsid w:val="002C7EA9"/>
    <w:rsid w:val="002E0FD9"/>
    <w:rsid w:val="002F2C66"/>
    <w:rsid w:val="00353BCB"/>
    <w:rsid w:val="003578AB"/>
    <w:rsid w:val="003A232C"/>
    <w:rsid w:val="003A65A6"/>
    <w:rsid w:val="003B6263"/>
    <w:rsid w:val="003C37B1"/>
    <w:rsid w:val="003C64A7"/>
    <w:rsid w:val="003D3FDA"/>
    <w:rsid w:val="003D4768"/>
    <w:rsid w:val="003F1F54"/>
    <w:rsid w:val="003F2317"/>
    <w:rsid w:val="0042013A"/>
    <w:rsid w:val="00420822"/>
    <w:rsid w:val="0045458F"/>
    <w:rsid w:val="00457D1F"/>
    <w:rsid w:val="00486F61"/>
    <w:rsid w:val="004D00D4"/>
    <w:rsid w:val="00530E8C"/>
    <w:rsid w:val="005379BE"/>
    <w:rsid w:val="00587875"/>
    <w:rsid w:val="005C7E76"/>
    <w:rsid w:val="00607E2B"/>
    <w:rsid w:val="00614171"/>
    <w:rsid w:val="00627E64"/>
    <w:rsid w:val="0063062B"/>
    <w:rsid w:val="00660A4E"/>
    <w:rsid w:val="00667229"/>
    <w:rsid w:val="00682BE5"/>
    <w:rsid w:val="006C7574"/>
    <w:rsid w:val="006F2331"/>
    <w:rsid w:val="0072279B"/>
    <w:rsid w:val="00737995"/>
    <w:rsid w:val="0074190C"/>
    <w:rsid w:val="00762576"/>
    <w:rsid w:val="007D6904"/>
    <w:rsid w:val="007E70AE"/>
    <w:rsid w:val="0080570B"/>
    <w:rsid w:val="008148E1"/>
    <w:rsid w:val="00865017"/>
    <w:rsid w:val="0088109B"/>
    <w:rsid w:val="008D0E09"/>
    <w:rsid w:val="0097693B"/>
    <w:rsid w:val="00983939"/>
    <w:rsid w:val="009A4A6D"/>
    <w:rsid w:val="009C3A88"/>
    <w:rsid w:val="00A11305"/>
    <w:rsid w:val="00A438A8"/>
    <w:rsid w:val="00A44BFA"/>
    <w:rsid w:val="00A548EF"/>
    <w:rsid w:val="00A948CF"/>
    <w:rsid w:val="00AA33D2"/>
    <w:rsid w:val="00AA41DB"/>
    <w:rsid w:val="00AA474C"/>
    <w:rsid w:val="00AD7E5F"/>
    <w:rsid w:val="00AE34E1"/>
    <w:rsid w:val="00B25D6A"/>
    <w:rsid w:val="00B30C81"/>
    <w:rsid w:val="00BB4D83"/>
    <w:rsid w:val="00BF663E"/>
    <w:rsid w:val="00C15633"/>
    <w:rsid w:val="00C357AD"/>
    <w:rsid w:val="00CA318D"/>
    <w:rsid w:val="00CB5D61"/>
    <w:rsid w:val="00CD5431"/>
    <w:rsid w:val="00CD5BD2"/>
    <w:rsid w:val="00CD75B4"/>
    <w:rsid w:val="00CE74EB"/>
    <w:rsid w:val="00CF2491"/>
    <w:rsid w:val="00D254D8"/>
    <w:rsid w:val="00D57772"/>
    <w:rsid w:val="00D72F8C"/>
    <w:rsid w:val="00D75A4D"/>
    <w:rsid w:val="00D8478B"/>
    <w:rsid w:val="00D86151"/>
    <w:rsid w:val="00DA7595"/>
    <w:rsid w:val="00DB0A68"/>
    <w:rsid w:val="00DC43A3"/>
    <w:rsid w:val="00DD68FC"/>
    <w:rsid w:val="00DE4D0D"/>
    <w:rsid w:val="00E035A1"/>
    <w:rsid w:val="00E11CD0"/>
    <w:rsid w:val="00E674D3"/>
    <w:rsid w:val="00EB681F"/>
    <w:rsid w:val="00EC1A88"/>
    <w:rsid w:val="00F80501"/>
    <w:rsid w:val="00F84067"/>
    <w:rsid w:val="00FC2CE0"/>
    <w:rsid w:val="00FD592E"/>
    <w:rsid w:val="00FE1665"/>
    <w:rsid w:val="00FF63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983939"/>
    <w:rPr>
      <w:rFonts w:ascii="Tahoma" w:hAnsi="Tahoma" w:cs="Tahoma"/>
      <w:sz w:val="16"/>
      <w:szCs w:val="16"/>
    </w:rPr>
  </w:style>
  <w:style w:type="character" w:customStyle="1" w:styleId="BalloonTextChar">
    <w:name w:val="Balloon Text Char"/>
    <w:basedOn w:val="DefaultParagraphFont"/>
    <w:link w:val="BalloonText"/>
    <w:rsid w:val="00983939"/>
    <w:rPr>
      <w:rFonts w:ascii="Tahoma" w:eastAsia="BatangChe" w:hAnsi="Tahoma" w:cs="Tahoma"/>
      <w:sz w:val="16"/>
      <w:szCs w:val="16"/>
      <w:lang w:bidi="ar-SA"/>
    </w:rPr>
  </w:style>
  <w:style w:type="paragraph" w:styleId="ListParagraph">
    <w:name w:val="List Paragraph"/>
    <w:basedOn w:val="Normal"/>
    <w:uiPriority w:val="34"/>
    <w:qFormat/>
    <w:rsid w:val="00D72F8C"/>
    <w:rPr>
      <w:rFonts w:eastAsia="Times New Roman"/>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983939"/>
    <w:rPr>
      <w:rFonts w:ascii="Tahoma" w:hAnsi="Tahoma" w:cs="Tahoma"/>
      <w:sz w:val="16"/>
      <w:szCs w:val="16"/>
    </w:rPr>
  </w:style>
  <w:style w:type="character" w:customStyle="1" w:styleId="BalloonTextChar">
    <w:name w:val="Balloon Text Char"/>
    <w:basedOn w:val="DefaultParagraphFont"/>
    <w:link w:val="BalloonText"/>
    <w:rsid w:val="00983939"/>
    <w:rPr>
      <w:rFonts w:ascii="Tahoma" w:eastAsia="BatangChe" w:hAnsi="Tahoma" w:cs="Tahoma"/>
      <w:sz w:val="16"/>
      <w:szCs w:val="16"/>
      <w:lang w:bidi="ar-SA"/>
    </w:rPr>
  </w:style>
  <w:style w:type="paragraph" w:styleId="ListParagraph">
    <w:name w:val="List Paragraph"/>
    <w:basedOn w:val="Normal"/>
    <w:uiPriority w:val="34"/>
    <w:qFormat/>
    <w:rsid w:val="00D72F8C"/>
    <w:rPr>
      <w:rFonts w:eastAsia="Times New Roman"/>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5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ATRC\WG-Spec-IRAN2014\SATRC%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SATRC Document Template</Template>
  <TotalTime>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m_dashti</dc:creator>
  <cp:lastModifiedBy>Forhadul Parvez</cp:lastModifiedBy>
  <cp:revision>3</cp:revision>
  <cp:lastPrinted>2004-07-28T05:44:00Z</cp:lastPrinted>
  <dcterms:created xsi:type="dcterms:W3CDTF">2014-03-10T17:17:00Z</dcterms:created>
  <dcterms:modified xsi:type="dcterms:W3CDTF">2014-04-15T03:49:00Z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